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7F65" w14:textId="2DF18628" w:rsidR="00CE5525" w:rsidRDefault="00CE5525">
      <w:pPr>
        <w:rPr>
          <w:rFonts w:ascii="Times New Roman" w:hAnsi="Times New Roman" w:cs="Times New Roman"/>
        </w:rPr>
      </w:pPr>
      <w:bookmarkStart w:id="0" w:name="_GoBack"/>
      <w:bookmarkEnd w:id="0"/>
      <w:r>
        <w:rPr>
          <w:rFonts w:ascii="Times New Roman" w:hAnsi="Times New Roman" w:cs="Times New Roman"/>
        </w:rPr>
        <w:t xml:space="preserve">NGC Regulation 6.090(15) requires the internal auditor to use guidelines, checklists and other “criteria established by the </w:t>
      </w:r>
      <w:r w:rsidR="00295EF9">
        <w:rPr>
          <w:rFonts w:ascii="Times New Roman" w:hAnsi="Times New Roman" w:cs="Times New Roman"/>
        </w:rPr>
        <w:t>C</w:t>
      </w:r>
      <w:r>
        <w:rPr>
          <w:rFonts w:ascii="Times New Roman" w:hAnsi="Times New Roman" w:cs="Times New Roman"/>
        </w:rPr>
        <w:t>hair” in determining whether a Group I licensee is in compliance with applicable statutes, regulations, and Minimum Internal Control Standards (MICS).  The use of this checklist satisfies these requirements.</w:t>
      </w:r>
    </w:p>
    <w:p w14:paraId="11A119D7" w14:textId="77777777" w:rsidR="00CE5525" w:rsidRPr="007F62D5" w:rsidRDefault="00CE5525">
      <w:pPr>
        <w:pStyle w:val="BodyText"/>
        <w:rPr>
          <w:bCs/>
          <w:sz w:val="20"/>
        </w:rPr>
      </w:pPr>
    </w:p>
    <w:p w14:paraId="6C68FFE8" w14:textId="77777777" w:rsidR="00CE5525" w:rsidRDefault="00CE5525">
      <w:pPr>
        <w:pStyle w:val="BodyText"/>
        <w:rPr>
          <w:sz w:val="20"/>
          <w:u w:val="single"/>
        </w:rPr>
      </w:pPr>
      <w:r>
        <w:rPr>
          <w:sz w:val="20"/>
          <w:u w:val="single"/>
        </w:rPr>
        <w:t>Objectives:</w:t>
      </w:r>
    </w:p>
    <w:p w14:paraId="132E46F8" w14:textId="77777777" w:rsidR="00CE5525" w:rsidRDefault="00CE5525">
      <w:pPr>
        <w:pStyle w:val="BodyText"/>
        <w:rPr>
          <w:sz w:val="20"/>
        </w:rPr>
      </w:pPr>
      <w:r>
        <w:rPr>
          <w:sz w:val="20"/>
        </w:rPr>
        <w:t>To determine if controls for entertainment are adequate to ensure entertainment revenues are accurately stated in financial records and comply with the MICS.</w:t>
      </w:r>
    </w:p>
    <w:p w14:paraId="716549EB" w14:textId="77777777" w:rsidR="00CE5525" w:rsidRDefault="00CE5525">
      <w:pPr>
        <w:pStyle w:val="BodyText"/>
        <w:rPr>
          <w:sz w:val="20"/>
          <w:u w:val="single"/>
        </w:rPr>
      </w:pPr>
    </w:p>
    <w:p w14:paraId="55D1B48E" w14:textId="77777777" w:rsidR="00CE5525" w:rsidRDefault="00CE5525">
      <w:pPr>
        <w:ind w:left="1725" w:hanging="1725"/>
        <w:rPr>
          <w:rFonts w:ascii="Times New Roman" w:hAnsi="Times New Roman" w:cs="Times New Roman"/>
          <w:u w:val="single"/>
        </w:rPr>
      </w:pPr>
      <w:r>
        <w:rPr>
          <w:rFonts w:ascii="Times New Roman" w:hAnsi="Times New Roman" w:cs="Times New Roman"/>
          <w:u w:val="single"/>
        </w:rPr>
        <w:t>Checklist Completion Notes:</w:t>
      </w:r>
    </w:p>
    <w:p w14:paraId="690892E9" w14:textId="77777777" w:rsidR="00CE5525" w:rsidRDefault="00CE5525" w:rsidP="002D0E6E">
      <w:pPr>
        <w:pStyle w:val="List"/>
        <w:numPr>
          <w:ilvl w:val="0"/>
          <w:numId w:val="4"/>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08F8E0FF" w14:textId="77777777" w:rsidR="00CE5525" w:rsidRDefault="00CE5525">
      <w:pPr>
        <w:rPr>
          <w:rFonts w:ascii="Times New Roman" w:hAnsi="Times New Roman" w:cs="Times New Roman"/>
          <w:u w:val="single"/>
        </w:rPr>
      </w:pPr>
    </w:p>
    <w:p w14:paraId="380A47F2" w14:textId="163B22BA" w:rsidR="00CA4FA8" w:rsidRPr="00CA4FA8" w:rsidRDefault="00CE5525" w:rsidP="00CA4FA8">
      <w:pPr>
        <w:pStyle w:val="BodyText"/>
        <w:numPr>
          <w:ilvl w:val="0"/>
          <w:numId w:val="4"/>
        </w:numPr>
        <w:autoSpaceDE/>
        <w:autoSpaceDN/>
        <w:rPr>
          <w:b/>
          <w:bCs/>
          <w:sz w:val="20"/>
          <w:szCs w:val="20"/>
        </w:rPr>
      </w:pPr>
      <w:r>
        <w:rPr>
          <w:sz w:val="20"/>
        </w:rPr>
        <w:t xml:space="preserve">The minimum standards quoted on this checklist are from Version </w:t>
      </w:r>
      <w:r w:rsidR="00B30537">
        <w:rPr>
          <w:sz w:val="20"/>
        </w:rPr>
        <w:t xml:space="preserve">9 </w:t>
      </w:r>
      <w:r>
        <w:rPr>
          <w:sz w:val="20"/>
        </w:rPr>
        <w:t>of the stan</w:t>
      </w:r>
      <w:r w:rsidR="00DB15E8">
        <w:rPr>
          <w:sz w:val="20"/>
        </w:rPr>
        <w:t>dards.</w:t>
      </w:r>
      <w:r w:rsidR="00CA4FA8" w:rsidRPr="00CA4FA8">
        <w:rPr>
          <w:sz w:val="20"/>
          <w:szCs w:val="20"/>
        </w:rPr>
        <w:tab/>
        <w:t xml:space="preserve"> </w:t>
      </w:r>
    </w:p>
    <w:p w14:paraId="72146339" w14:textId="77777777" w:rsidR="00CE5525" w:rsidRDefault="00CE5525">
      <w:pPr>
        <w:pStyle w:val="BodyText"/>
        <w:rPr>
          <w:sz w:val="20"/>
        </w:rPr>
      </w:pPr>
    </w:p>
    <w:p w14:paraId="132F861C" w14:textId="77777777" w:rsidR="00CE5525" w:rsidRDefault="00CE5525" w:rsidP="002D0E6E">
      <w:pPr>
        <w:pStyle w:val="List"/>
        <w:numPr>
          <w:ilvl w:val="0"/>
          <w:numId w:val="4"/>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21389227" w14:textId="77777777" w:rsidR="00CE5525" w:rsidRDefault="00CE5525">
      <w:pPr>
        <w:pStyle w:val="BodyText"/>
        <w:rPr>
          <w:b/>
          <w:bCs/>
          <w:sz w:val="20"/>
        </w:rPr>
      </w:pPr>
      <w:r>
        <w:rPr>
          <w:b/>
          <w:bCs/>
          <w:sz w:val="20"/>
        </w:rPr>
        <w:t xml:space="preserve"> </w:t>
      </w:r>
    </w:p>
    <w:p w14:paraId="124B9B91" w14:textId="77777777" w:rsidR="00CE5525" w:rsidRDefault="00CE5525">
      <w:pPr>
        <w:ind w:left="1725" w:hanging="1725"/>
        <w:rPr>
          <w:rFonts w:ascii="Times New Roman" w:hAnsi="Times New Roman" w:cs="Times New Roman"/>
          <w:u w:val="single"/>
        </w:rPr>
      </w:pPr>
      <w:r>
        <w:rPr>
          <w:rFonts w:ascii="Times New Roman" w:hAnsi="Times New Roman" w:cs="Times New Roman"/>
          <w:u w:val="single"/>
        </w:rPr>
        <w:t>Scope:</w:t>
      </w:r>
    </w:p>
    <w:p w14:paraId="799BC265" w14:textId="77777777" w:rsidR="00CE5525" w:rsidRDefault="00CE5525">
      <w:pPr>
        <w:rPr>
          <w:rFonts w:ascii="Times New Roman" w:hAnsi="Times New Roman" w:cs="Times New Roman"/>
        </w:rPr>
      </w:pPr>
      <w:r>
        <w:rPr>
          <w:rFonts w:ascii="Times New Roman" w:hAnsi="Times New Roman" w:cs="Times New Roman"/>
        </w:rPr>
        <w:t>Unless otherwise indicated, select 1 day per year.</w:t>
      </w:r>
      <w:r>
        <w:rPr>
          <w:rFonts w:ascii="Times New Roman" w:hAnsi="Times New Roman" w:cs="Times New Roman"/>
          <w:b/>
          <w:bCs/>
        </w:rPr>
        <w:t xml:space="preserve">  </w:t>
      </w:r>
      <w:r>
        <w:rPr>
          <w:rFonts w:ascii="Times New Roman" w:hAnsi="Times New Roman" w:cs="Times New Roman"/>
        </w:rPr>
        <w:t>If no activity took place in an entertainment area, select an additional test date for that area.  Only entertainment areas with frequent, routinely scheduled entertainment need be examined (including showrooms, lounges and leased facilities).  Complete an Entertainment Testing Procedures Internal Audit Compliance Checklist for each entertainment area determined to be subject to entertainment tax during the completion of the “Entertainment Area Evaluation Form”.  This checklist can be completed for multiple entertainment areas, if applicable, as long as the responses clearly indicate to which entertainment area the responses apply.</w:t>
      </w:r>
    </w:p>
    <w:p w14:paraId="677D89C9" w14:textId="77777777" w:rsidR="00CE5525" w:rsidRDefault="00CE5525">
      <w:pPr>
        <w:pStyle w:val="BodyText"/>
        <w:rPr>
          <w:b/>
          <w:bCs/>
          <w:sz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5040"/>
      </w:tblGrid>
      <w:tr w:rsidR="00FF1D8B" w:rsidRPr="008923DD" w14:paraId="41EF505E" w14:textId="77777777" w:rsidTr="008923DD">
        <w:tc>
          <w:tcPr>
            <w:tcW w:w="5850" w:type="dxa"/>
            <w:shd w:val="clear" w:color="auto" w:fill="auto"/>
          </w:tcPr>
          <w:p w14:paraId="561BCFD7" w14:textId="77777777" w:rsidR="00FF1D8B" w:rsidRPr="008923DD" w:rsidRDefault="00FF1D8B">
            <w:pPr>
              <w:pStyle w:val="BodyText"/>
              <w:rPr>
                <w:rFonts w:eastAsia="Calibri"/>
                <w:b/>
                <w:bCs/>
                <w:sz w:val="20"/>
              </w:rPr>
            </w:pPr>
            <w:r w:rsidRPr="008923DD">
              <w:rPr>
                <w:rFonts w:eastAsia="Calibri"/>
                <w:b/>
                <w:bCs/>
                <w:sz w:val="20"/>
              </w:rPr>
              <w:t>Entertainment Area(s):</w:t>
            </w:r>
          </w:p>
        </w:tc>
        <w:tc>
          <w:tcPr>
            <w:tcW w:w="5040" w:type="dxa"/>
            <w:shd w:val="clear" w:color="auto" w:fill="auto"/>
          </w:tcPr>
          <w:p w14:paraId="0401538F" w14:textId="77777777" w:rsidR="00FF1D8B" w:rsidRPr="008923DD" w:rsidRDefault="00FF1D8B">
            <w:pPr>
              <w:pStyle w:val="BodyText"/>
              <w:rPr>
                <w:rFonts w:eastAsia="Calibri"/>
                <w:b/>
                <w:bCs/>
                <w:sz w:val="20"/>
              </w:rPr>
            </w:pPr>
            <w:r w:rsidRPr="008923DD">
              <w:rPr>
                <w:rFonts w:eastAsia="Calibri"/>
                <w:b/>
                <w:bCs/>
                <w:sz w:val="20"/>
              </w:rPr>
              <w:t>Test Date(s):</w:t>
            </w:r>
          </w:p>
        </w:tc>
      </w:tr>
      <w:tr w:rsidR="00FF1D8B" w:rsidRPr="008923DD" w14:paraId="3BDF0339" w14:textId="77777777" w:rsidTr="008923DD">
        <w:tc>
          <w:tcPr>
            <w:tcW w:w="5850" w:type="dxa"/>
            <w:shd w:val="clear" w:color="auto" w:fill="auto"/>
          </w:tcPr>
          <w:p w14:paraId="14EB0190" w14:textId="77777777" w:rsidR="00FF1D8B" w:rsidRPr="008923DD" w:rsidRDefault="00FF1D8B">
            <w:pPr>
              <w:pStyle w:val="BodyText"/>
              <w:rPr>
                <w:rFonts w:eastAsia="Calibri"/>
                <w:b/>
                <w:bCs/>
                <w:sz w:val="20"/>
              </w:rPr>
            </w:pPr>
          </w:p>
        </w:tc>
        <w:tc>
          <w:tcPr>
            <w:tcW w:w="5040" w:type="dxa"/>
            <w:shd w:val="clear" w:color="auto" w:fill="auto"/>
          </w:tcPr>
          <w:p w14:paraId="16A7BBDE" w14:textId="77777777" w:rsidR="00FF1D8B" w:rsidRPr="008923DD" w:rsidRDefault="00FF1D8B">
            <w:pPr>
              <w:pStyle w:val="BodyText"/>
              <w:rPr>
                <w:rFonts w:eastAsia="Calibri"/>
                <w:b/>
                <w:bCs/>
                <w:sz w:val="20"/>
              </w:rPr>
            </w:pPr>
          </w:p>
        </w:tc>
      </w:tr>
      <w:tr w:rsidR="00FF1D8B" w:rsidRPr="008923DD" w14:paraId="7A423B42" w14:textId="77777777" w:rsidTr="008923DD">
        <w:tc>
          <w:tcPr>
            <w:tcW w:w="5850" w:type="dxa"/>
            <w:shd w:val="clear" w:color="auto" w:fill="auto"/>
          </w:tcPr>
          <w:p w14:paraId="758B77CC" w14:textId="77777777" w:rsidR="00FF1D8B" w:rsidRPr="008923DD" w:rsidRDefault="00FF1D8B">
            <w:pPr>
              <w:pStyle w:val="BodyText"/>
              <w:rPr>
                <w:rFonts w:eastAsia="Calibri"/>
                <w:b/>
                <w:bCs/>
                <w:sz w:val="20"/>
              </w:rPr>
            </w:pPr>
          </w:p>
        </w:tc>
        <w:tc>
          <w:tcPr>
            <w:tcW w:w="5040" w:type="dxa"/>
            <w:shd w:val="clear" w:color="auto" w:fill="auto"/>
          </w:tcPr>
          <w:p w14:paraId="027FC200" w14:textId="77777777" w:rsidR="00FF1D8B" w:rsidRPr="008923DD" w:rsidRDefault="00FF1D8B">
            <w:pPr>
              <w:pStyle w:val="BodyText"/>
              <w:rPr>
                <w:rFonts w:eastAsia="Calibri"/>
                <w:b/>
                <w:bCs/>
                <w:sz w:val="20"/>
              </w:rPr>
            </w:pPr>
          </w:p>
        </w:tc>
      </w:tr>
      <w:tr w:rsidR="002F3FA5" w:rsidRPr="008923DD" w14:paraId="7627D775" w14:textId="77777777" w:rsidTr="008923DD">
        <w:tc>
          <w:tcPr>
            <w:tcW w:w="5850" w:type="dxa"/>
            <w:shd w:val="clear" w:color="auto" w:fill="auto"/>
          </w:tcPr>
          <w:p w14:paraId="6FA4546D" w14:textId="77777777" w:rsidR="002F3FA5" w:rsidRPr="008923DD" w:rsidRDefault="002F3FA5">
            <w:pPr>
              <w:pStyle w:val="BodyText"/>
              <w:rPr>
                <w:rFonts w:eastAsia="Calibri"/>
                <w:b/>
                <w:bCs/>
                <w:sz w:val="20"/>
              </w:rPr>
            </w:pPr>
          </w:p>
        </w:tc>
        <w:tc>
          <w:tcPr>
            <w:tcW w:w="5040" w:type="dxa"/>
            <w:shd w:val="clear" w:color="auto" w:fill="auto"/>
          </w:tcPr>
          <w:p w14:paraId="0E47DE4D" w14:textId="77777777" w:rsidR="002F3FA5" w:rsidRPr="008923DD" w:rsidRDefault="002F3FA5">
            <w:pPr>
              <w:pStyle w:val="BodyText"/>
              <w:rPr>
                <w:rFonts w:eastAsia="Calibri"/>
                <w:b/>
                <w:bCs/>
                <w:sz w:val="20"/>
              </w:rPr>
            </w:pPr>
          </w:p>
        </w:tc>
      </w:tr>
      <w:tr w:rsidR="002F3FA5" w:rsidRPr="008923DD" w14:paraId="0B7133BD" w14:textId="77777777" w:rsidTr="008923DD">
        <w:tc>
          <w:tcPr>
            <w:tcW w:w="5850" w:type="dxa"/>
            <w:shd w:val="clear" w:color="auto" w:fill="auto"/>
          </w:tcPr>
          <w:p w14:paraId="1AC32439" w14:textId="77777777" w:rsidR="002F3FA5" w:rsidRPr="008923DD" w:rsidRDefault="002F3FA5">
            <w:pPr>
              <w:pStyle w:val="BodyText"/>
              <w:rPr>
                <w:rFonts w:eastAsia="Calibri"/>
                <w:b/>
                <w:bCs/>
                <w:sz w:val="20"/>
              </w:rPr>
            </w:pPr>
          </w:p>
        </w:tc>
        <w:tc>
          <w:tcPr>
            <w:tcW w:w="5040" w:type="dxa"/>
            <w:shd w:val="clear" w:color="auto" w:fill="auto"/>
          </w:tcPr>
          <w:p w14:paraId="4B515D32" w14:textId="77777777" w:rsidR="002F3FA5" w:rsidRPr="008923DD" w:rsidRDefault="002F3FA5">
            <w:pPr>
              <w:pStyle w:val="BodyText"/>
              <w:rPr>
                <w:rFonts w:eastAsia="Calibri"/>
                <w:b/>
                <w:bCs/>
                <w:sz w:val="20"/>
              </w:rPr>
            </w:pPr>
          </w:p>
        </w:tc>
      </w:tr>
    </w:tbl>
    <w:p w14:paraId="59E85B33" w14:textId="77777777" w:rsidR="00CE5525" w:rsidRDefault="00CE5525">
      <w:pPr>
        <w:pStyle w:val="BodyText"/>
        <w:rPr>
          <w:b/>
          <w:bCs/>
          <w:sz w:val="20"/>
        </w:rPr>
      </w:pPr>
    </w:p>
    <w:p w14:paraId="41FF869F" w14:textId="77777777" w:rsidR="00CE5525" w:rsidRDefault="00CE5525">
      <w:pPr>
        <w:pStyle w:val="BodyTextIndent"/>
        <w:ind w:left="1725" w:hanging="1725"/>
        <w:rPr>
          <w:sz w:val="20"/>
          <w:szCs w:val="20"/>
          <w:u w:val="single"/>
        </w:rPr>
      </w:pPr>
      <w:r>
        <w:rPr>
          <w:sz w:val="20"/>
          <w:szCs w:val="20"/>
          <w:u w:val="single"/>
        </w:rPr>
        <w:t>MICS Variations and Regulation Waivers:</w:t>
      </w:r>
    </w:p>
    <w:p w14:paraId="02DC6C77" w14:textId="77777777" w:rsidR="00CE5525" w:rsidRDefault="00CE5525">
      <w:pPr>
        <w:pStyle w:val="BodyTextIndent"/>
        <w:rPr>
          <w:sz w:val="20"/>
          <w:szCs w:val="20"/>
        </w:rPr>
      </w:pPr>
      <w:r>
        <w:rPr>
          <w:sz w:val="20"/>
          <w:szCs w:val="20"/>
        </w:rPr>
        <w:t>Review the MICS variations and regulation waivers scheduled during the entertainment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5D39B784" w14:textId="77777777" w:rsidR="00CE5525" w:rsidRDefault="00CE5525">
      <w:pPr>
        <w:pStyle w:val="BodyTextIndent"/>
        <w:ind w:left="1725" w:hanging="1725"/>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CE5525" w14:paraId="3CCF88B2" w14:textId="77777777">
        <w:tc>
          <w:tcPr>
            <w:tcW w:w="1283" w:type="dxa"/>
            <w:tcBorders>
              <w:top w:val="single" w:sz="12" w:space="0" w:color="auto"/>
              <w:left w:val="single" w:sz="12" w:space="0" w:color="auto"/>
              <w:bottom w:val="single" w:sz="6" w:space="0" w:color="auto"/>
              <w:right w:val="single" w:sz="6" w:space="0" w:color="auto"/>
            </w:tcBorders>
          </w:tcPr>
          <w:p w14:paraId="0A423C31" w14:textId="77777777" w:rsidR="00CE5525" w:rsidRDefault="00CE5525">
            <w:pPr>
              <w:pStyle w:val="List"/>
              <w:ind w:left="0" w:firstLine="0"/>
              <w:jc w:val="center"/>
              <w:rPr>
                <w:b/>
                <w:bCs/>
              </w:rPr>
            </w:pPr>
            <w:r>
              <w:rPr>
                <w:b/>
                <w:bCs/>
              </w:rPr>
              <w:t>Date</w:t>
            </w:r>
          </w:p>
          <w:p w14:paraId="2A0BEA3C" w14:textId="77777777" w:rsidR="00CE5525" w:rsidRDefault="00CE5525">
            <w:pPr>
              <w:pStyle w:val="List"/>
              <w:ind w:left="0" w:firstLine="0"/>
              <w:jc w:val="center"/>
              <w:rPr>
                <w:b/>
                <w:bCs/>
              </w:rPr>
            </w:pPr>
            <w:r>
              <w:rPr>
                <w:b/>
                <w:bCs/>
              </w:rPr>
              <w:t>Approval</w:t>
            </w:r>
          </w:p>
          <w:p w14:paraId="2625CFBF" w14:textId="77777777" w:rsidR="00CE5525" w:rsidRDefault="00CE5525">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139FA4F6" w14:textId="77777777" w:rsidR="00CE5525" w:rsidRDefault="00CE5525">
            <w:pPr>
              <w:pStyle w:val="List"/>
              <w:ind w:left="0" w:firstLine="0"/>
              <w:jc w:val="center"/>
              <w:rPr>
                <w:b/>
                <w:bCs/>
              </w:rPr>
            </w:pPr>
            <w:r>
              <w:rPr>
                <w:b/>
                <w:bCs/>
              </w:rPr>
              <w:t xml:space="preserve">MICS Number </w:t>
            </w:r>
          </w:p>
          <w:p w14:paraId="6E882B49" w14:textId="77777777" w:rsidR="00CE5525" w:rsidRDefault="00CE5525">
            <w:pPr>
              <w:pStyle w:val="List"/>
              <w:ind w:left="0" w:firstLine="0"/>
              <w:jc w:val="center"/>
              <w:rPr>
                <w:b/>
                <w:bCs/>
              </w:rPr>
            </w:pPr>
            <w:r>
              <w:rPr>
                <w:b/>
                <w:bCs/>
              </w:rPr>
              <w:t>or</w:t>
            </w:r>
          </w:p>
          <w:p w14:paraId="78F17904" w14:textId="77777777" w:rsidR="00CE5525" w:rsidRDefault="00CE5525">
            <w:pPr>
              <w:pStyle w:val="List"/>
              <w:ind w:left="0" w:firstLine="0"/>
              <w:jc w:val="center"/>
              <w:rPr>
                <w:b/>
                <w:bCs/>
              </w:rPr>
            </w:pPr>
            <w:r>
              <w:rPr>
                <w:b/>
                <w:bCs/>
              </w:rPr>
              <w:t>Regulation</w:t>
            </w:r>
          </w:p>
          <w:p w14:paraId="62BC8510" w14:textId="77777777" w:rsidR="00CE5525" w:rsidRDefault="00CE5525">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7549A554" w14:textId="77777777" w:rsidR="00CE5525" w:rsidRDefault="00CE5525">
            <w:pPr>
              <w:pStyle w:val="List"/>
              <w:ind w:left="0" w:firstLine="0"/>
              <w:jc w:val="center"/>
              <w:rPr>
                <w:b/>
                <w:bCs/>
              </w:rPr>
            </w:pPr>
            <w:r>
              <w:rPr>
                <w:b/>
                <w:bCs/>
              </w:rPr>
              <w:t xml:space="preserve">Description of </w:t>
            </w:r>
          </w:p>
          <w:p w14:paraId="255884A6" w14:textId="77777777" w:rsidR="00CE5525" w:rsidRDefault="00CE5525">
            <w:pPr>
              <w:pStyle w:val="List"/>
              <w:ind w:left="0" w:firstLine="0"/>
              <w:jc w:val="center"/>
              <w:rPr>
                <w:b/>
                <w:bCs/>
              </w:rPr>
            </w:pPr>
            <w:r>
              <w:rPr>
                <w:b/>
                <w:bCs/>
              </w:rPr>
              <w:t>Variation/Waiver Granted</w:t>
            </w:r>
          </w:p>
          <w:p w14:paraId="4FE594F8" w14:textId="77777777" w:rsidR="00CE5525" w:rsidRDefault="00CE5525">
            <w:pPr>
              <w:pStyle w:val="List"/>
              <w:ind w:left="0" w:firstLine="0"/>
              <w:jc w:val="center"/>
              <w:rPr>
                <w:b/>
                <w:bCs/>
              </w:rPr>
            </w:pPr>
            <w:r>
              <w:rPr>
                <w:b/>
                <w:bCs/>
              </w:rPr>
              <w:t xml:space="preserve">or </w:t>
            </w:r>
          </w:p>
          <w:p w14:paraId="3590BE91" w14:textId="77777777" w:rsidR="00CE5525" w:rsidRDefault="00CE5525">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0CEB9DAA" w14:textId="77777777" w:rsidR="00CE5525" w:rsidRDefault="00CE5525">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460C4631" w14:textId="77777777" w:rsidR="00CE5525" w:rsidRDefault="00CE5525">
            <w:pPr>
              <w:pStyle w:val="List"/>
              <w:ind w:left="0" w:firstLine="0"/>
              <w:jc w:val="center"/>
              <w:rPr>
                <w:b/>
                <w:bCs/>
              </w:rPr>
            </w:pPr>
            <w:r>
              <w:rPr>
                <w:b/>
                <w:bCs/>
              </w:rPr>
              <w:t>W/P Ref.</w:t>
            </w:r>
          </w:p>
          <w:p w14:paraId="5FEDB1EC" w14:textId="77777777" w:rsidR="00CE5525" w:rsidRDefault="00CE5525">
            <w:pPr>
              <w:pStyle w:val="List"/>
              <w:ind w:left="0" w:firstLine="0"/>
              <w:jc w:val="center"/>
              <w:rPr>
                <w:b/>
                <w:bCs/>
              </w:rPr>
            </w:pPr>
            <w:r>
              <w:rPr>
                <w:b/>
                <w:bCs/>
              </w:rPr>
              <w:t>(if appl.)</w:t>
            </w:r>
          </w:p>
        </w:tc>
      </w:tr>
      <w:tr w:rsidR="00CE5525" w14:paraId="15B7FC5F" w14:textId="77777777">
        <w:tc>
          <w:tcPr>
            <w:tcW w:w="1283" w:type="dxa"/>
            <w:tcBorders>
              <w:top w:val="single" w:sz="6" w:space="0" w:color="auto"/>
              <w:left w:val="single" w:sz="12" w:space="0" w:color="auto"/>
              <w:bottom w:val="single" w:sz="6" w:space="0" w:color="auto"/>
              <w:right w:val="single" w:sz="6" w:space="0" w:color="auto"/>
            </w:tcBorders>
          </w:tcPr>
          <w:p w14:paraId="00BBE5F7" w14:textId="77777777" w:rsidR="00CE5525" w:rsidRDefault="00CE5525">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371EB47" w14:textId="77777777" w:rsidR="00CE5525" w:rsidRDefault="00CE5525">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45BE5A1" w14:textId="77777777" w:rsidR="00CE5525" w:rsidRDefault="00CE5525">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4850078" w14:textId="77777777" w:rsidR="00CE5525" w:rsidRDefault="00CE5525">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D6FD12A" w14:textId="77777777" w:rsidR="00CE5525" w:rsidRDefault="00CE5525">
            <w:pPr>
              <w:pStyle w:val="List"/>
              <w:ind w:left="0" w:firstLine="0"/>
              <w:rPr>
                <w:b/>
                <w:bCs/>
              </w:rPr>
            </w:pPr>
          </w:p>
        </w:tc>
      </w:tr>
      <w:tr w:rsidR="00CE5525" w14:paraId="3EFF4FC4" w14:textId="77777777">
        <w:tc>
          <w:tcPr>
            <w:tcW w:w="1283" w:type="dxa"/>
            <w:tcBorders>
              <w:top w:val="single" w:sz="6" w:space="0" w:color="auto"/>
              <w:left w:val="single" w:sz="12" w:space="0" w:color="auto"/>
              <w:bottom w:val="single" w:sz="6" w:space="0" w:color="auto"/>
              <w:right w:val="single" w:sz="6" w:space="0" w:color="auto"/>
            </w:tcBorders>
          </w:tcPr>
          <w:p w14:paraId="4E598042" w14:textId="77777777" w:rsidR="00CE5525" w:rsidRDefault="00CE5525">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5A9A4336" w14:textId="77777777" w:rsidR="00CE5525" w:rsidRDefault="00CE5525">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B114349" w14:textId="77777777" w:rsidR="00CE5525" w:rsidRDefault="00CE5525">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04F2B1A" w14:textId="77777777" w:rsidR="00CE5525" w:rsidRDefault="00CE5525">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835475B" w14:textId="77777777" w:rsidR="00CE5525" w:rsidRDefault="00CE5525">
            <w:pPr>
              <w:pStyle w:val="List"/>
              <w:ind w:left="0" w:firstLine="0"/>
              <w:rPr>
                <w:b/>
                <w:bCs/>
              </w:rPr>
            </w:pPr>
          </w:p>
        </w:tc>
      </w:tr>
      <w:tr w:rsidR="00CE5525" w14:paraId="5B2CBE00" w14:textId="77777777">
        <w:tc>
          <w:tcPr>
            <w:tcW w:w="1283" w:type="dxa"/>
            <w:tcBorders>
              <w:top w:val="single" w:sz="6" w:space="0" w:color="auto"/>
              <w:left w:val="single" w:sz="12" w:space="0" w:color="auto"/>
              <w:bottom w:val="single" w:sz="6" w:space="0" w:color="auto"/>
              <w:right w:val="single" w:sz="6" w:space="0" w:color="auto"/>
            </w:tcBorders>
          </w:tcPr>
          <w:p w14:paraId="63A3E6A5" w14:textId="77777777" w:rsidR="00CE5525" w:rsidRDefault="00CE5525">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1D43CFB" w14:textId="77777777" w:rsidR="00CE5525" w:rsidRDefault="00CE5525">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6343861" w14:textId="77777777" w:rsidR="00CE5525" w:rsidRDefault="00CE5525">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C63E136" w14:textId="77777777" w:rsidR="00CE5525" w:rsidRDefault="00CE5525">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EC3DE1D" w14:textId="77777777" w:rsidR="00CE5525" w:rsidRDefault="00CE5525">
            <w:pPr>
              <w:pStyle w:val="List"/>
              <w:ind w:left="0" w:firstLine="0"/>
              <w:rPr>
                <w:b/>
                <w:bCs/>
              </w:rPr>
            </w:pPr>
          </w:p>
        </w:tc>
      </w:tr>
      <w:tr w:rsidR="00CE5525" w14:paraId="305CD320" w14:textId="77777777">
        <w:tc>
          <w:tcPr>
            <w:tcW w:w="1283" w:type="dxa"/>
            <w:tcBorders>
              <w:top w:val="single" w:sz="6" w:space="0" w:color="auto"/>
              <w:left w:val="single" w:sz="12" w:space="0" w:color="auto"/>
              <w:bottom w:val="single" w:sz="6" w:space="0" w:color="auto"/>
              <w:right w:val="single" w:sz="6" w:space="0" w:color="auto"/>
            </w:tcBorders>
          </w:tcPr>
          <w:p w14:paraId="5E81DA11" w14:textId="77777777" w:rsidR="00CE5525" w:rsidRDefault="00CE5525">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697B6BC" w14:textId="77777777" w:rsidR="00CE5525" w:rsidRDefault="00CE5525">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54A2E19" w14:textId="77777777" w:rsidR="00CE5525" w:rsidRDefault="00CE5525">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9D77330" w14:textId="77777777" w:rsidR="00CE5525" w:rsidRDefault="00CE5525">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96AC6E4" w14:textId="77777777" w:rsidR="00CE5525" w:rsidRDefault="00CE5525">
            <w:pPr>
              <w:pStyle w:val="List"/>
              <w:ind w:left="0" w:firstLine="0"/>
              <w:rPr>
                <w:b/>
                <w:bCs/>
              </w:rPr>
            </w:pPr>
          </w:p>
        </w:tc>
      </w:tr>
      <w:tr w:rsidR="00CE5525" w14:paraId="460F21AC" w14:textId="77777777">
        <w:tc>
          <w:tcPr>
            <w:tcW w:w="1283" w:type="dxa"/>
            <w:tcBorders>
              <w:top w:val="single" w:sz="6" w:space="0" w:color="auto"/>
              <w:left w:val="single" w:sz="12" w:space="0" w:color="auto"/>
              <w:bottom w:val="single" w:sz="12" w:space="0" w:color="auto"/>
              <w:right w:val="single" w:sz="6" w:space="0" w:color="auto"/>
            </w:tcBorders>
          </w:tcPr>
          <w:p w14:paraId="741C323C" w14:textId="77777777" w:rsidR="00CE5525" w:rsidRDefault="00CE5525">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78C0302A" w14:textId="77777777" w:rsidR="00CE5525" w:rsidRDefault="00CE5525">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0004AB94" w14:textId="77777777" w:rsidR="00CE5525" w:rsidRDefault="00CE5525">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4E370B08" w14:textId="77777777" w:rsidR="00CE5525" w:rsidRDefault="00CE5525">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30AF0993" w14:textId="77777777" w:rsidR="00CE5525" w:rsidRDefault="00CE5525">
            <w:pPr>
              <w:pStyle w:val="List"/>
              <w:ind w:left="0" w:firstLine="0"/>
              <w:rPr>
                <w:b/>
                <w:bCs/>
              </w:rPr>
            </w:pPr>
          </w:p>
        </w:tc>
      </w:tr>
    </w:tbl>
    <w:p w14:paraId="7E701E38" w14:textId="77777777" w:rsidR="00CE5525" w:rsidRDefault="00CE5525">
      <w:pPr>
        <w:pStyle w:val="Header"/>
        <w:tabs>
          <w:tab w:val="clear" w:pos="4320"/>
          <w:tab w:val="clear" w:pos="8640"/>
          <w:tab w:val="left" w:pos="360"/>
        </w:tabs>
      </w:pPr>
    </w:p>
    <w:tbl>
      <w:tblPr>
        <w:tblW w:w="10620" w:type="dxa"/>
        <w:tblInd w:w="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1"/>
        <w:gridCol w:w="1082"/>
        <w:gridCol w:w="4587"/>
      </w:tblGrid>
      <w:tr w:rsidR="00CE5525" w14:paraId="5B12A16B" w14:textId="77777777" w:rsidTr="00E87FAA">
        <w:trPr>
          <w:cantSplit/>
          <w:tblHeader/>
        </w:trPr>
        <w:tc>
          <w:tcPr>
            <w:tcW w:w="4951" w:type="dxa"/>
            <w:tcBorders>
              <w:top w:val="single" w:sz="4" w:space="0" w:color="auto"/>
              <w:left w:val="single" w:sz="4" w:space="0" w:color="auto"/>
              <w:bottom w:val="single" w:sz="4" w:space="0" w:color="auto"/>
              <w:right w:val="single" w:sz="4" w:space="0" w:color="auto"/>
            </w:tcBorders>
            <w:shd w:val="clear" w:color="auto" w:fill="E0E0E0"/>
          </w:tcPr>
          <w:p w14:paraId="2E444E72" w14:textId="77777777" w:rsidR="00CE5525" w:rsidRDefault="00CE5525">
            <w:pPr>
              <w:tabs>
                <w:tab w:val="left" w:pos="1080"/>
              </w:tabs>
              <w:rPr>
                <w:rFonts w:ascii="Times New Roman" w:hAnsi="Times New Roman" w:cs="Times New Roman"/>
                <w:szCs w:val="24"/>
              </w:rPr>
            </w:pPr>
          </w:p>
          <w:p w14:paraId="0D8227E2" w14:textId="77777777" w:rsidR="00CE5525" w:rsidRDefault="00CE5525">
            <w:pPr>
              <w:tabs>
                <w:tab w:val="left" w:pos="1080"/>
              </w:tabs>
              <w:rPr>
                <w:rFonts w:ascii="Times New Roman" w:hAnsi="Times New Roman" w:cs="Times New Roman"/>
                <w:szCs w:val="24"/>
              </w:rPr>
            </w:pPr>
          </w:p>
          <w:tbl>
            <w:tblPr>
              <w:tblW w:w="0" w:type="auto"/>
              <w:tblLayout w:type="fixed"/>
              <w:tblLook w:val="00A0" w:firstRow="1" w:lastRow="0" w:firstColumn="1" w:lastColumn="0" w:noHBand="0" w:noVBand="0"/>
            </w:tblPr>
            <w:tblGrid>
              <w:gridCol w:w="1234"/>
              <w:gridCol w:w="1358"/>
              <w:gridCol w:w="630"/>
              <w:gridCol w:w="1488"/>
            </w:tblGrid>
            <w:tr w:rsidR="00CE5525" w14:paraId="40695AEE" w14:textId="77777777" w:rsidTr="00880F88">
              <w:tc>
                <w:tcPr>
                  <w:tcW w:w="1234" w:type="dxa"/>
                  <w:tcBorders>
                    <w:bottom w:val="single" w:sz="4" w:space="0" w:color="auto"/>
                  </w:tcBorders>
                </w:tcPr>
                <w:p w14:paraId="5540D2FB" w14:textId="77777777" w:rsidR="00CE5525" w:rsidRDefault="00CE5525">
                  <w:pPr>
                    <w:tabs>
                      <w:tab w:val="left" w:pos="1080"/>
                    </w:tabs>
                    <w:rPr>
                      <w:rFonts w:ascii="Times New Roman" w:hAnsi="Times New Roman" w:cs="Times New Roman"/>
                      <w:b/>
                      <w:bCs/>
                      <w:sz w:val="16"/>
                      <w:szCs w:val="24"/>
                    </w:rPr>
                  </w:pPr>
                  <w:r>
                    <w:rPr>
                      <w:rFonts w:ascii="Times New Roman" w:hAnsi="Times New Roman" w:cs="Times New Roman"/>
                      <w:b/>
                      <w:bCs/>
                      <w:sz w:val="16"/>
                      <w:szCs w:val="24"/>
                    </w:rPr>
                    <w:t>Entertainment Area:</w:t>
                  </w:r>
                </w:p>
              </w:tc>
              <w:tc>
                <w:tcPr>
                  <w:tcW w:w="1358" w:type="dxa"/>
                  <w:tcBorders>
                    <w:bottom w:val="single" w:sz="4" w:space="0" w:color="auto"/>
                  </w:tcBorders>
                </w:tcPr>
                <w:p w14:paraId="32EAC4C5" w14:textId="77777777" w:rsidR="00CE5525" w:rsidRDefault="00CE5525">
                  <w:pPr>
                    <w:tabs>
                      <w:tab w:val="left" w:pos="1080"/>
                    </w:tabs>
                    <w:rPr>
                      <w:rFonts w:ascii="Times New Roman" w:hAnsi="Times New Roman" w:cs="Times New Roman"/>
                      <w:sz w:val="16"/>
                      <w:szCs w:val="24"/>
                    </w:rPr>
                  </w:pPr>
                </w:p>
              </w:tc>
              <w:tc>
                <w:tcPr>
                  <w:tcW w:w="630" w:type="dxa"/>
                  <w:tcBorders>
                    <w:bottom w:val="single" w:sz="4" w:space="0" w:color="auto"/>
                  </w:tcBorders>
                </w:tcPr>
                <w:p w14:paraId="738B8E62" w14:textId="77777777" w:rsidR="00CE5525" w:rsidRDefault="00CE5525">
                  <w:pPr>
                    <w:tabs>
                      <w:tab w:val="left" w:pos="1080"/>
                    </w:tabs>
                    <w:rPr>
                      <w:rFonts w:ascii="Times New Roman" w:hAnsi="Times New Roman" w:cs="Times New Roman"/>
                      <w:b/>
                      <w:bCs/>
                      <w:sz w:val="16"/>
                      <w:szCs w:val="24"/>
                    </w:rPr>
                  </w:pPr>
                  <w:r>
                    <w:rPr>
                      <w:rFonts w:ascii="Times New Roman" w:hAnsi="Times New Roman" w:cs="Times New Roman"/>
                      <w:b/>
                      <w:bCs/>
                      <w:sz w:val="16"/>
                      <w:szCs w:val="24"/>
                    </w:rPr>
                    <w:t>Test Date:</w:t>
                  </w:r>
                </w:p>
              </w:tc>
              <w:tc>
                <w:tcPr>
                  <w:tcW w:w="1488" w:type="dxa"/>
                  <w:tcBorders>
                    <w:bottom w:val="single" w:sz="4" w:space="0" w:color="auto"/>
                  </w:tcBorders>
                </w:tcPr>
                <w:p w14:paraId="4BE2371E" w14:textId="77777777" w:rsidR="00CE5525" w:rsidRDefault="00CE5525">
                  <w:pPr>
                    <w:tabs>
                      <w:tab w:val="left" w:pos="1080"/>
                    </w:tabs>
                    <w:rPr>
                      <w:rFonts w:ascii="Times New Roman" w:hAnsi="Times New Roman" w:cs="Times New Roman"/>
                      <w:sz w:val="16"/>
                      <w:szCs w:val="24"/>
                    </w:rPr>
                  </w:pPr>
                </w:p>
              </w:tc>
            </w:tr>
          </w:tbl>
          <w:p w14:paraId="24D23EEB" w14:textId="77777777" w:rsidR="00CE5525" w:rsidRDefault="00CE5525">
            <w:pPr>
              <w:tabs>
                <w:tab w:val="left" w:pos="1080"/>
              </w:tabs>
              <w:rPr>
                <w:rFonts w:ascii="Times New Roman" w:hAnsi="Times New Roman" w:cs="Times New Roman"/>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E0E0E0"/>
          </w:tcPr>
          <w:p w14:paraId="30C48AC6" w14:textId="77777777" w:rsidR="00CE5525" w:rsidRDefault="00CE5525">
            <w:pPr>
              <w:pStyle w:val="Header"/>
              <w:tabs>
                <w:tab w:val="clear" w:pos="4320"/>
                <w:tab w:val="clear" w:pos="8640"/>
                <w:tab w:val="left" w:pos="1080"/>
              </w:tabs>
              <w:rPr>
                <w:rFonts w:ascii="Times New Roman" w:hAnsi="Times New Roman" w:cs="Times New Roman"/>
                <w:szCs w:val="22"/>
              </w:rPr>
            </w:pPr>
            <w:r>
              <w:rPr>
                <w:rFonts w:ascii="Times New Roman" w:hAnsi="Times New Roman" w:cs="Times New Roman"/>
                <w:szCs w:val="22"/>
              </w:rPr>
              <w:t>Step completed without exception</w:t>
            </w:r>
          </w:p>
        </w:tc>
        <w:tc>
          <w:tcPr>
            <w:tcW w:w="4587" w:type="dxa"/>
            <w:tcBorders>
              <w:top w:val="single" w:sz="4" w:space="0" w:color="auto"/>
              <w:left w:val="single" w:sz="4" w:space="0" w:color="auto"/>
              <w:bottom w:val="single" w:sz="4" w:space="0" w:color="auto"/>
              <w:right w:val="single" w:sz="4" w:space="0" w:color="auto"/>
            </w:tcBorders>
            <w:shd w:val="clear" w:color="auto" w:fill="E0E0E0"/>
          </w:tcPr>
          <w:p w14:paraId="7F0C99C1" w14:textId="77777777" w:rsidR="00CE5525" w:rsidRDefault="00CE5525">
            <w:pPr>
              <w:tabs>
                <w:tab w:val="left" w:pos="1080"/>
              </w:tabs>
              <w:rPr>
                <w:rFonts w:ascii="Times New Roman" w:hAnsi="Times New Roman" w:cs="Times New Roman"/>
                <w:szCs w:val="22"/>
              </w:rPr>
            </w:pPr>
          </w:p>
          <w:p w14:paraId="21737A6D" w14:textId="77777777" w:rsidR="00CE5525" w:rsidRDefault="00CE5525">
            <w:pPr>
              <w:tabs>
                <w:tab w:val="left" w:pos="1080"/>
              </w:tabs>
              <w:jc w:val="center"/>
              <w:rPr>
                <w:rFonts w:ascii="Times New Roman" w:hAnsi="Times New Roman" w:cs="Times New Roman"/>
                <w:szCs w:val="22"/>
              </w:rPr>
            </w:pPr>
          </w:p>
          <w:p w14:paraId="662C5E12" w14:textId="77777777" w:rsidR="00CE5525" w:rsidRDefault="00CE5525">
            <w:pPr>
              <w:tabs>
                <w:tab w:val="left" w:pos="1080"/>
              </w:tabs>
              <w:jc w:val="center"/>
              <w:rPr>
                <w:rFonts w:ascii="Times New Roman" w:hAnsi="Times New Roman" w:cs="Times New Roman"/>
                <w:szCs w:val="22"/>
              </w:rPr>
            </w:pPr>
            <w:r>
              <w:rPr>
                <w:rFonts w:ascii="Times New Roman" w:hAnsi="Times New Roman" w:cs="Times New Roman"/>
                <w:szCs w:val="22"/>
              </w:rPr>
              <w:t>Exception/Comment</w:t>
            </w:r>
          </w:p>
          <w:p w14:paraId="4F21B467" w14:textId="77777777" w:rsidR="00CE5525" w:rsidRDefault="00CE5525">
            <w:pPr>
              <w:tabs>
                <w:tab w:val="left" w:pos="1080"/>
              </w:tabs>
              <w:rPr>
                <w:rFonts w:ascii="Times New Roman" w:hAnsi="Times New Roman" w:cs="Times New Roman"/>
                <w:szCs w:val="22"/>
              </w:rPr>
            </w:pPr>
          </w:p>
        </w:tc>
      </w:tr>
      <w:tr w:rsidR="00CE5525" w14:paraId="28E7F1C8"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74C76314" w14:textId="63D4B5BC" w:rsidR="00CE5525" w:rsidRDefault="00CE5525" w:rsidP="000F2097">
            <w:pPr>
              <w:numPr>
                <w:ilvl w:val="0"/>
                <w:numId w:val="5"/>
              </w:numPr>
              <w:tabs>
                <w:tab w:val="clear" w:pos="720"/>
              </w:tabs>
              <w:ind w:left="300" w:hanging="270"/>
              <w:rPr>
                <w:rFonts w:ascii="Times New Roman" w:hAnsi="Times New Roman" w:cs="Times New Roman"/>
              </w:rPr>
            </w:pPr>
            <w:r>
              <w:rPr>
                <w:rFonts w:ascii="Times New Roman" w:hAnsi="Times New Roman" w:cs="Times New Roman"/>
                <w:szCs w:val="24"/>
              </w:rPr>
              <w:t xml:space="preserve">Review prior internal audit reports.  Schedule any relevant exceptions cited, including those cited by the </w:t>
            </w:r>
            <w:r w:rsidR="00B30537">
              <w:rPr>
                <w:rFonts w:ascii="Times New Roman" w:hAnsi="Times New Roman" w:cs="Times New Roman"/>
                <w:szCs w:val="24"/>
              </w:rPr>
              <w:t>N</w:t>
            </w:r>
            <w:r>
              <w:rPr>
                <w:rFonts w:ascii="Times New Roman" w:hAnsi="Times New Roman" w:cs="Times New Roman"/>
                <w:szCs w:val="24"/>
              </w:rPr>
              <w:t>GCB or the CPA, or include a copy of the prior audit reports in the workpapers and follow-up on any problems noted.  Duplication of exceptions when the CPA is referring to exceptions reported in internal audit reports is not necessary.</w:t>
            </w:r>
          </w:p>
          <w:p w14:paraId="2030F4F9" w14:textId="77777777" w:rsidR="00CE5525" w:rsidRDefault="00CE5525">
            <w:pPr>
              <w:pStyle w:val="Header"/>
              <w:tabs>
                <w:tab w:val="clear" w:pos="4320"/>
                <w:tab w:val="clear" w:pos="8640"/>
              </w:tabs>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1132ADEE" w14:textId="77777777" w:rsidR="00CE5525" w:rsidRDefault="00CE5525">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60474326" w14:textId="77777777" w:rsidR="00CE5525" w:rsidRDefault="00CE5525">
            <w:pPr>
              <w:numPr>
                <w:ilvl w:val="12"/>
                <w:numId w:val="0"/>
              </w:numPr>
              <w:rPr>
                <w:rFonts w:ascii="Times New Roman" w:hAnsi="Times New Roman" w:cs="Times New Roman"/>
              </w:rPr>
            </w:pPr>
          </w:p>
        </w:tc>
      </w:tr>
      <w:tr w:rsidR="00CE5525" w14:paraId="18567EAE"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65334B7D" w14:textId="5B937FF9" w:rsidR="00CE5525" w:rsidRDefault="00CE5525" w:rsidP="000F2097">
            <w:pPr>
              <w:numPr>
                <w:ilvl w:val="0"/>
                <w:numId w:val="5"/>
              </w:numPr>
              <w:tabs>
                <w:tab w:val="clear" w:pos="720"/>
              </w:tabs>
              <w:ind w:left="300" w:hanging="270"/>
              <w:rPr>
                <w:rFonts w:ascii="Times New Roman" w:hAnsi="Times New Roman" w:cs="Times New Roman"/>
              </w:rPr>
            </w:pPr>
            <w:r>
              <w:rPr>
                <w:rFonts w:ascii="Times New Roman" w:hAnsi="Times New Roman" w:cs="Times New Roman"/>
              </w:rPr>
              <w:t>Examine detail cash register tapes</w:t>
            </w:r>
            <w:r w:rsidR="004E2642">
              <w:rPr>
                <w:rFonts w:ascii="Times New Roman" w:hAnsi="Times New Roman" w:cs="Times New Roman"/>
              </w:rPr>
              <w:t>/point-of-sale (</w:t>
            </w:r>
            <w:r w:rsidR="00880F88">
              <w:rPr>
                <w:rFonts w:ascii="Times New Roman" w:hAnsi="Times New Roman" w:cs="Times New Roman"/>
              </w:rPr>
              <w:t>“</w:t>
            </w:r>
            <w:r w:rsidR="004E2642">
              <w:rPr>
                <w:rFonts w:ascii="Times New Roman" w:hAnsi="Times New Roman" w:cs="Times New Roman"/>
              </w:rPr>
              <w:t>POS</w:t>
            </w:r>
            <w:r w:rsidR="00880F88">
              <w:rPr>
                <w:rFonts w:ascii="Times New Roman" w:hAnsi="Times New Roman" w:cs="Times New Roman"/>
              </w:rPr>
              <w:t>”</w:t>
            </w:r>
            <w:r w:rsidR="004E2642">
              <w:rPr>
                <w:rFonts w:ascii="Times New Roman" w:hAnsi="Times New Roman" w:cs="Times New Roman"/>
              </w:rPr>
              <w:t xml:space="preserve">) system </w:t>
            </w:r>
            <w:r w:rsidR="00EF204F">
              <w:rPr>
                <w:rFonts w:ascii="Times New Roman" w:hAnsi="Times New Roman" w:cs="Times New Roman"/>
              </w:rPr>
              <w:t xml:space="preserve">transaction </w:t>
            </w:r>
            <w:r w:rsidR="004E2642">
              <w:rPr>
                <w:rFonts w:ascii="Times New Roman" w:hAnsi="Times New Roman" w:cs="Times New Roman"/>
              </w:rPr>
              <w:t>reports</w:t>
            </w:r>
            <w:r>
              <w:rPr>
                <w:rFonts w:ascii="Times New Roman" w:hAnsi="Times New Roman" w:cs="Times New Roman"/>
              </w:rPr>
              <w:t xml:space="preserve"> </w:t>
            </w:r>
            <w:r w:rsidR="004E2642">
              <w:rPr>
                <w:rFonts w:ascii="Times New Roman" w:hAnsi="Times New Roman" w:cs="Times New Roman"/>
              </w:rPr>
              <w:t>documenting</w:t>
            </w:r>
            <w:r w:rsidR="00E818DA">
              <w:rPr>
                <w:rFonts w:ascii="Times New Roman" w:hAnsi="Times New Roman" w:cs="Times New Roman"/>
              </w:rPr>
              <w:t xml:space="preserve"> the</w:t>
            </w:r>
            <w:r w:rsidR="004E2642">
              <w:rPr>
                <w:rFonts w:ascii="Times New Roman" w:hAnsi="Times New Roman" w:cs="Times New Roman"/>
              </w:rPr>
              <w:t xml:space="preserve"> admission charges, </w:t>
            </w:r>
            <w:r>
              <w:rPr>
                <w:rFonts w:ascii="Times New Roman" w:hAnsi="Times New Roman" w:cs="Times New Roman"/>
              </w:rPr>
              <w:t xml:space="preserve">verifying that </w:t>
            </w:r>
            <w:r w:rsidR="004E2642">
              <w:rPr>
                <w:rFonts w:ascii="Times New Roman" w:hAnsi="Times New Roman" w:cs="Times New Roman"/>
              </w:rPr>
              <w:t>the charges are readily identifiable by individual charge</w:t>
            </w:r>
            <w:r w:rsidR="00E818DA">
              <w:rPr>
                <w:rFonts w:ascii="Times New Roman" w:hAnsi="Times New Roman" w:cs="Times New Roman"/>
              </w:rPr>
              <w:t>, in total, and by area</w:t>
            </w:r>
            <w:r w:rsidR="004E2642">
              <w:rPr>
                <w:rFonts w:ascii="Times New Roman" w:hAnsi="Times New Roman" w:cs="Times New Roman"/>
              </w:rPr>
              <w:t xml:space="preserve"> and correctly identified by type</w:t>
            </w:r>
            <w:r w:rsidR="00E818DA">
              <w:rPr>
                <w:rFonts w:ascii="Times New Roman" w:hAnsi="Times New Roman" w:cs="Times New Roman"/>
              </w:rPr>
              <w:t xml:space="preserve"> (i.e</w:t>
            </w:r>
            <w:r w:rsidR="00F12B8E">
              <w:rPr>
                <w:rFonts w:ascii="Times New Roman" w:hAnsi="Times New Roman" w:cs="Times New Roman"/>
              </w:rPr>
              <w:t>.</w:t>
            </w:r>
            <w:r w:rsidR="00E818DA">
              <w:rPr>
                <w:rFonts w:ascii="Times New Roman" w:hAnsi="Times New Roman" w:cs="Times New Roman"/>
              </w:rPr>
              <w:t xml:space="preserve"> taxable, nontaxable</w:t>
            </w:r>
            <w:r w:rsidR="00880F88">
              <w:rPr>
                <w:rFonts w:ascii="Times New Roman" w:hAnsi="Times New Roman" w:cs="Times New Roman"/>
              </w:rPr>
              <w:t>,</w:t>
            </w:r>
            <w:r w:rsidR="00E818DA">
              <w:rPr>
                <w:rFonts w:ascii="Times New Roman" w:hAnsi="Times New Roman" w:cs="Times New Roman"/>
              </w:rPr>
              <w:t xml:space="preserve"> and complimentary)</w:t>
            </w:r>
            <w:r w:rsidR="008B6A8C">
              <w:rPr>
                <w:rFonts w:ascii="Times New Roman" w:hAnsi="Times New Roman" w:cs="Times New Roman"/>
              </w:rPr>
              <w:t xml:space="preserve">.  </w:t>
            </w:r>
            <w:r>
              <w:rPr>
                <w:rFonts w:ascii="Times New Roman" w:hAnsi="Times New Roman" w:cs="Times New Roman"/>
                <w:b/>
              </w:rPr>
              <w:t>(Revenue)</w:t>
            </w:r>
          </w:p>
          <w:p w14:paraId="7BE3DF56" w14:textId="77777777" w:rsidR="00CE5525" w:rsidRDefault="00CE5525">
            <w:pPr>
              <w:numPr>
                <w:ilvl w:val="12"/>
                <w:numId w:val="0"/>
              </w:numPr>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6FFBD9C7" w14:textId="77777777" w:rsidR="00CE5525" w:rsidRDefault="00CE5525">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2BDEAB18" w14:textId="77777777" w:rsidR="00CE5525" w:rsidRDefault="00CE5525">
            <w:pPr>
              <w:numPr>
                <w:ilvl w:val="12"/>
                <w:numId w:val="0"/>
              </w:numPr>
              <w:rPr>
                <w:rFonts w:ascii="Times New Roman" w:hAnsi="Times New Roman" w:cs="Times New Roman"/>
              </w:rPr>
            </w:pPr>
          </w:p>
        </w:tc>
      </w:tr>
      <w:tr w:rsidR="00E303A0" w14:paraId="71EDDDF7"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49468D36" w14:textId="77777777" w:rsidR="00BF1554" w:rsidRDefault="00BF1554" w:rsidP="00514017">
            <w:pPr>
              <w:pStyle w:val="List"/>
              <w:ind w:left="314" w:hanging="314"/>
            </w:pPr>
            <w:r>
              <w:t xml:space="preserve">3.   Through examination/comparison of entertainment schedules, determine that all admission charges subject to entertainment tax have been properly included in the system generated totals.  </w:t>
            </w:r>
            <w:r>
              <w:rPr>
                <w:b/>
                <w:bCs/>
              </w:rPr>
              <w:t>(Revenue)</w:t>
            </w:r>
          </w:p>
          <w:p w14:paraId="32A42CB5" w14:textId="77777777" w:rsidR="00E303A0" w:rsidRDefault="00E303A0" w:rsidP="00E303A0">
            <w:pPr>
              <w:ind w:left="30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5F53D84B" w14:textId="77777777" w:rsidR="00E303A0" w:rsidRDefault="00E303A0">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2E9DAC75" w14:textId="77777777" w:rsidR="00E303A0" w:rsidRDefault="00E303A0">
            <w:pPr>
              <w:numPr>
                <w:ilvl w:val="12"/>
                <w:numId w:val="0"/>
              </w:numPr>
              <w:rPr>
                <w:rFonts w:ascii="Times New Roman" w:hAnsi="Times New Roman" w:cs="Times New Roman"/>
              </w:rPr>
            </w:pPr>
          </w:p>
        </w:tc>
      </w:tr>
      <w:tr w:rsidR="00CE5525" w14:paraId="0AD4D432"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4D694849" w14:textId="77777777" w:rsidR="00CE5525" w:rsidRDefault="00BF1554" w:rsidP="00514017">
            <w:pPr>
              <w:ind w:left="314" w:hanging="314"/>
              <w:rPr>
                <w:rFonts w:ascii="Times New Roman" w:hAnsi="Times New Roman" w:cs="Times New Roman"/>
              </w:rPr>
            </w:pPr>
            <w:r>
              <w:rPr>
                <w:rFonts w:ascii="Times New Roman" w:hAnsi="Times New Roman" w:cs="Times New Roman"/>
              </w:rPr>
              <w:t xml:space="preserve">4.   </w:t>
            </w:r>
            <w:r w:rsidR="00CE5525">
              <w:rPr>
                <w:rFonts w:ascii="Times New Roman" w:hAnsi="Times New Roman" w:cs="Times New Roman"/>
              </w:rPr>
              <w:t xml:space="preserve">Foot the individual </w:t>
            </w:r>
            <w:r w:rsidR="004325A1">
              <w:rPr>
                <w:rFonts w:ascii="Times New Roman" w:hAnsi="Times New Roman" w:cs="Times New Roman"/>
              </w:rPr>
              <w:t>admission charg</w:t>
            </w:r>
            <w:r w:rsidR="002A601E">
              <w:rPr>
                <w:rFonts w:ascii="Times New Roman" w:hAnsi="Times New Roman" w:cs="Times New Roman"/>
              </w:rPr>
              <w:t>e</w:t>
            </w:r>
            <w:r w:rsidR="004325A1">
              <w:rPr>
                <w:rFonts w:ascii="Times New Roman" w:hAnsi="Times New Roman" w:cs="Times New Roman"/>
              </w:rPr>
              <w:t>s</w:t>
            </w:r>
            <w:r w:rsidR="00CE5525">
              <w:rPr>
                <w:rFonts w:ascii="Times New Roman" w:hAnsi="Times New Roman" w:cs="Times New Roman"/>
              </w:rPr>
              <w:t xml:space="preserve"> </w:t>
            </w:r>
            <w:r w:rsidR="00185503">
              <w:rPr>
                <w:rFonts w:ascii="Times New Roman" w:hAnsi="Times New Roman" w:cs="Times New Roman"/>
              </w:rPr>
              <w:t xml:space="preserve">from </w:t>
            </w:r>
            <w:r w:rsidR="00EF204F">
              <w:rPr>
                <w:rFonts w:ascii="Times New Roman" w:hAnsi="Times New Roman" w:cs="Times New Roman"/>
              </w:rPr>
              <w:t xml:space="preserve">detail </w:t>
            </w:r>
            <w:r w:rsidR="00185503">
              <w:rPr>
                <w:rFonts w:ascii="Times New Roman" w:hAnsi="Times New Roman" w:cs="Times New Roman"/>
              </w:rPr>
              <w:t xml:space="preserve">cash register tapes/POS </w:t>
            </w:r>
            <w:r w:rsidR="00E818DA">
              <w:rPr>
                <w:rFonts w:ascii="Times New Roman" w:hAnsi="Times New Roman" w:cs="Times New Roman"/>
              </w:rPr>
              <w:t>system t</w:t>
            </w:r>
            <w:r w:rsidR="00185503">
              <w:rPr>
                <w:rFonts w:ascii="Times New Roman" w:hAnsi="Times New Roman" w:cs="Times New Roman"/>
              </w:rPr>
              <w:t>ransaction report</w:t>
            </w:r>
            <w:r w:rsidR="00EF204F">
              <w:rPr>
                <w:rFonts w:ascii="Times New Roman" w:hAnsi="Times New Roman" w:cs="Times New Roman"/>
              </w:rPr>
              <w:t>s</w:t>
            </w:r>
            <w:r w:rsidR="00185503">
              <w:rPr>
                <w:rFonts w:ascii="Times New Roman" w:hAnsi="Times New Roman" w:cs="Times New Roman"/>
              </w:rPr>
              <w:t xml:space="preserve"> and trace </w:t>
            </w:r>
            <w:r w:rsidR="00EF204F">
              <w:rPr>
                <w:rFonts w:ascii="Times New Roman" w:hAnsi="Times New Roman" w:cs="Times New Roman"/>
              </w:rPr>
              <w:t>t</w:t>
            </w:r>
            <w:r w:rsidR="00185503">
              <w:rPr>
                <w:rFonts w:ascii="Times New Roman" w:hAnsi="Times New Roman" w:cs="Times New Roman"/>
              </w:rPr>
              <w:t xml:space="preserve">he </w:t>
            </w:r>
            <w:r w:rsidR="00E818DA">
              <w:rPr>
                <w:rFonts w:ascii="Times New Roman" w:hAnsi="Times New Roman" w:cs="Times New Roman"/>
              </w:rPr>
              <w:t>totals</w:t>
            </w:r>
            <w:r w:rsidR="00EF204F">
              <w:rPr>
                <w:rFonts w:ascii="Times New Roman" w:hAnsi="Times New Roman" w:cs="Times New Roman"/>
              </w:rPr>
              <w:t xml:space="preserve"> to the</w:t>
            </w:r>
            <w:r w:rsidR="00CE5525">
              <w:rPr>
                <w:rFonts w:ascii="Times New Roman" w:hAnsi="Times New Roman" w:cs="Times New Roman"/>
              </w:rPr>
              <w:t xml:space="preserve"> </w:t>
            </w:r>
            <w:r w:rsidR="00EF204F">
              <w:rPr>
                <w:rFonts w:ascii="Times New Roman" w:hAnsi="Times New Roman" w:cs="Times New Roman"/>
              </w:rPr>
              <w:t>daily</w:t>
            </w:r>
            <w:r w:rsidR="00F12B8E">
              <w:rPr>
                <w:rFonts w:ascii="Times New Roman" w:hAnsi="Times New Roman" w:cs="Times New Roman"/>
              </w:rPr>
              <w:t xml:space="preserve"> </w:t>
            </w:r>
            <w:r w:rsidR="00BF071D" w:rsidRPr="007F62D5">
              <w:rPr>
                <w:rFonts w:ascii="Times New Roman" w:hAnsi="Times New Roman" w:cs="Times New Roman"/>
              </w:rPr>
              <w:t>admission</w:t>
            </w:r>
            <w:r w:rsidR="004325A1">
              <w:rPr>
                <w:rFonts w:ascii="Times New Roman" w:hAnsi="Times New Roman" w:cs="Times New Roman"/>
              </w:rPr>
              <w:t>s</w:t>
            </w:r>
            <w:r w:rsidR="00BF071D">
              <w:rPr>
                <w:rFonts w:ascii="Times New Roman" w:hAnsi="Times New Roman" w:cs="Times New Roman"/>
              </w:rPr>
              <w:t xml:space="preserve"> </w:t>
            </w:r>
            <w:r w:rsidR="00BF071D" w:rsidRPr="00BF071D">
              <w:rPr>
                <w:rFonts w:ascii="Times New Roman" w:hAnsi="Times New Roman" w:cs="Times New Roman"/>
              </w:rPr>
              <w:t>summar</w:t>
            </w:r>
            <w:r w:rsidR="001F5096">
              <w:rPr>
                <w:rFonts w:ascii="Times New Roman" w:hAnsi="Times New Roman" w:cs="Times New Roman"/>
              </w:rPr>
              <w:t>y</w:t>
            </w:r>
            <w:r w:rsidR="002A601E">
              <w:rPr>
                <w:rFonts w:ascii="Times New Roman" w:hAnsi="Times New Roman" w:cs="Times New Roman"/>
              </w:rPr>
              <w:t xml:space="preserve"> for</w:t>
            </w:r>
            <w:r w:rsidR="00071009">
              <w:rPr>
                <w:rFonts w:ascii="Times New Roman" w:hAnsi="Times New Roman" w:cs="Times New Roman"/>
              </w:rPr>
              <w:t xml:space="preserve"> the following</w:t>
            </w:r>
            <w:r w:rsidR="00CE5525">
              <w:rPr>
                <w:rFonts w:ascii="Times New Roman" w:hAnsi="Times New Roman" w:cs="Times New Roman"/>
              </w:rPr>
              <w:t>:</w:t>
            </w:r>
          </w:p>
          <w:p w14:paraId="5B070696" w14:textId="77777777" w:rsidR="00CE5525" w:rsidRDefault="00CE5525">
            <w:pPr>
              <w:pStyle w:val="Header"/>
              <w:tabs>
                <w:tab w:val="clear" w:pos="4320"/>
                <w:tab w:val="clear" w:pos="8640"/>
              </w:tabs>
              <w:rPr>
                <w:rFonts w:ascii="Times New Roman" w:hAnsi="Times New Roman" w:cs="Times New Roman"/>
              </w:rPr>
            </w:pPr>
          </w:p>
          <w:p w14:paraId="3794A22D" w14:textId="77777777" w:rsidR="00CE5525" w:rsidRDefault="00CE5525">
            <w:pPr>
              <w:pStyle w:val="Header"/>
              <w:tabs>
                <w:tab w:val="clear" w:pos="4320"/>
                <w:tab w:val="clear" w:pos="8640"/>
              </w:tabs>
              <w:rPr>
                <w:rFonts w:ascii="Times New Roman" w:hAnsi="Times New Roman" w:cs="Times New Roman"/>
              </w:rPr>
            </w:pPr>
            <w:r>
              <w:rPr>
                <w:rFonts w:ascii="Times New Roman" w:hAnsi="Times New Roman" w:cs="Times New Roman"/>
                <w:b/>
                <w:bCs/>
              </w:rPr>
              <w:t xml:space="preserve">Note 1:  </w:t>
            </w:r>
            <w:r>
              <w:rPr>
                <w:rFonts w:ascii="Times New Roman" w:hAnsi="Times New Roman" w:cs="Times New Roman"/>
              </w:rPr>
              <w:t xml:space="preserve">Not applicable to </w:t>
            </w:r>
            <w:r w:rsidR="004325A1">
              <w:rPr>
                <w:rFonts w:ascii="Times New Roman" w:hAnsi="Times New Roman" w:cs="Times New Roman"/>
              </w:rPr>
              <w:t>ticket</w:t>
            </w:r>
            <w:r w:rsidR="00F12B8E">
              <w:rPr>
                <w:rFonts w:ascii="Times New Roman" w:hAnsi="Times New Roman" w:cs="Times New Roman"/>
              </w:rPr>
              <w:t xml:space="preserve"> </w:t>
            </w:r>
            <w:r>
              <w:rPr>
                <w:rFonts w:ascii="Times New Roman" w:hAnsi="Times New Roman" w:cs="Times New Roman"/>
              </w:rPr>
              <w:t>broker sales.</w:t>
            </w:r>
          </w:p>
          <w:p w14:paraId="5C1E7196" w14:textId="77777777" w:rsidR="00CE5525" w:rsidRDefault="00CE5525">
            <w:pPr>
              <w:pStyle w:val="Header"/>
              <w:tabs>
                <w:tab w:val="clear" w:pos="4320"/>
                <w:tab w:val="clear" w:pos="8640"/>
              </w:tabs>
              <w:rPr>
                <w:rFonts w:ascii="Times New Roman" w:hAnsi="Times New Roman" w:cs="Times New Roman"/>
              </w:rPr>
            </w:pPr>
          </w:p>
          <w:p w14:paraId="16F86E26" w14:textId="77777777" w:rsidR="00CE5525" w:rsidRDefault="00CE5525">
            <w:pPr>
              <w:pStyle w:val="Header"/>
              <w:tabs>
                <w:tab w:val="clear" w:pos="4320"/>
                <w:tab w:val="clear" w:pos="8640"/>
              </w:tabs>
              <w:rPr>
                <w:rFonts w:ascii="Times New Roman" w:hAnsi="Times New Roman" w:cs="Times New Roman"/>
                <w:b/>
                <w:bCs/>
              </w:rPr>
            </w:pPr>
            <w:r>
              <w:rPr>
                <w:rFonts w:ascii="Times New Roman" w:hAnsi="Times New Roman" w:cs="Times New Roman"/>
                <w:b/>
                <w:bCs/>
              </w:rPr>
              <w:t xml:space="preserve">Note 2:  </w:t>
            </w:r>
            <w:r>
              <w:rPr>
                <w:rFonts w:ascii="Times New Roman" w:hAnsi="Times New Roman" w:cs="Times New Roman"/>
              </w:rPr>
              <w:t>If multiple entertainment areas use the same computerized system, only one area needs to be footed.</w:t>
            </w:r>
          </w:p>
          <w:p w14:paraId="53A6556F" w14:textId="77777777" w:rsidR="00CE5525" w:rsidRDefault="00CE5525">
            <w:pPr>
              <w:pStyle w:val="Header"/>
              <w:tabs>
                <w:tab w:val="clear" w:pos="4320"/>
                <w:tab w:val="clear" w:pos="8640"/>
              </w:tabs>
              <w:rPr>
                <w:rFonts w:ascii="Times New Roman" w:hAnsi="Times New Roman" w:cs="Times New Roman"/>
                <w:b/>
                <w:bCs/>
              </w:rPr>
            </w:pPr>
          </w:p>
        </w:tc>
        <w:tc>
          <w:tcPr>
            <w:tcW w:w="1082" w:type="dxa"/>
            <w:tcBorders>
              <w:top w:val="single" w:sz="6" w:space="0" w:color="auto"/>
              <w:left w:val="single" w:sz="4" w:space="0" w:color="auto"/>
              <w:bottom w:val="single" w:sz="6" w:space="0" w:color="auto"/>
              <w:right w:val="single" w:sz="6" w:space="0" w:color="auto"/>
            </w:tcBorders>
            <w:shd w:val="pct15" w:color="auto" w:fill="auto"/>
          </w:tcPr>
          <w:p w14:paraId="2F2874EB" w14:textId="77777777" w:rsidR="00CE5525" w:rsidRDefault="00CE5525">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pct15" w:color="auto" w:fill="auto"/>
          </w:tcPr>
          <w:p w14:paraId="3E1A1CEF" w14:textId="77777777" w:rsidR="00CE5525" w:rsidRDefault="00CE5525">
            <w:pPr>
              <w:numPr>
                <w:ilvl w:val="12"/>
                <w:numId w:val="0"/>
              </w:numPr>
              <w:rPr>
                <w:rFonts w:ascii="Times New Roman" w:hAnsi="Times New Roman" w:cs="Times New Roman"/>
              </w:rPr>
            </w:pPr>
          </w:p>
        </w:tc>
      </w:tr>
      <w:tr w:rsidR="00CE5525" w14:paraId="6E68E879"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21DD2DB3" w14:textId="77777777" w:rsidR="00CE5525" w:rsidRDefault="00185503" w:rsidP="000F2097">
            <w:pPr>
              <w:numPr>
                <w:ilvl w:val="1"/>
                <w:numId w:val="5"/>
              </w:numPr>
              <w:tabs>
                <w:tab w:val="clear" w:pos="1440"/>
                <w:tab w:val="num" w:pos="660"/>
              </w:tabs>
              <w:ind w:left="660"/>
              <w:rPr>
                <w:rFonts w:ascii="Times New Roman" w:hAnsi="Times New Roman" w:cs="Times New Roman"/>
              </w:rPr>
            </w:pPr>
            <w:r>
              <w:rPr>
                <w:rFonts w:ascii="Times New Roman" w:hAnsi="Times New Roman" w:cs="Times New Roman"/>
              </w:rPr>
              <w:t>Taxable admission charges</w:t>
            </w:r>
            <w:r w:rsidR="00B87AB4">
              <w:rPr>
                <w:rFonts w:ascii="Times New Roman" w:hAnsi="Times New Roman" w:cs="Times New Roman"/>
              </w:rPr>
              <w:t>.</w:t>
            </w:r>
            <w:r w:rsidR="00465384">
              <w:rPr>
                <w:rFonts w:ascii="Times New Roman" w:hAnsi="Times New Roman" w:cs="Times New Roman"/>
              </w:rPr>
              <w:t xml:space="preserve">  </w:t>
            </w:r>
            <w:r w:rsidR="00CE5525">
              <w:rPr>
                <w:rFonts w:ascii="Times New Roman" w:hAnsi="Times New Roman" w:cs="Times New Roman"/>
                <w:b/>
              </w:rPr>
              <w:t>(Revenue)</w:t>
            </w:r>
            <w:r w:rsidR="00CE5525">
              <w:rPr>
                <w:rFonts w:ascii="Times New Roman" w:hAnsi="Times New Roman" w:cs="Times New Roman"/>
              </w:rPr>
              <w:t xml:space="preserve"> </w:t>
            </w:r>
          </w:p>
          <w:p w14:paraId="3D2EF3F6" w14:textId="77777777" w:rsidR="00CE5525" w:rsidRDefault="00CE5525">
            <w:pPr>
              <w:numPr>
                <w:ilvl w:val="12"/>
                <w:numId w:val="0"/>
              </w:numPr>
              <w:ind w:left="360" w:hanging="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4D51E63B" w14:textId="77777777" w:rsidR="00CE5525" w:rsidRDefault="00CE5525">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59FA324F" w14:textId="77777777" w:rsidR="00CE5525" w:rsidRDefault="00CE5525">
            <w:pPr>
              <w:numPr>
                <w:ilvl w:val="12"/>
                <w:numId w:val="0"/>
              </w:numPr>
              <w:rPr>
                <w:rFonts w:ascii="Times New Roman" w:hAnsi="Times New Roman" w:cs="Times New Roman"/>
              </w:rPr>
            </w:pPr>
          </w:p>
        </w:tc>
      </w:tr>
      <w:tr w:rsidR="00CE5525" w14:paraId="43043B5C"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49AB59C0" w14:textId="77777777" w:rsidR="00CE5525" w:rsidRDefault="00185503" w:rsidP="000F2097">
            <w:pPr>
              <w:numPr>
                <w:ilvl w:val="1"/>
                <w:numId w:val="5"/>
              </w:numPr>
              <w:tabs>
                <w:tab w:val="clear" w:pos="1440"/>
                <w:tab w:val="num" w:pos="660"/>
              </w:tabs>
              <w:ind w:left="660"/>
              <w:rPr>
                <w:rFonts w:ascii="Times New Roman" w:hAnsi="Times New Roman" w:cs="Times New Roman"/>
              </w:rPr>
            </w:pPr>
            <w:r>
              <w:rPr>
                <w:rFonts w:ascii="Times New Roman" w:hAnsi="Times New Roman" w:cs="Times New Roman"/>
              </w:rPr>
              <w:t>Nontaxable admission charges</w:t>
            </w:r>
            <w:r w:rsidR="00B87AB4">
              <w:rPr>
                <w:rFonts w:ascii="Times New Roman" w:hAnsi="Times New Roman" w:cs="Times New Roman"/>
              </w:rPr>
              <w:t>.</w:t>
            </w:r>
            <w:r w:rsidR="00CE5525">
              <w:rPr>
                <w:rFonts w:ascii="Times New Roman" w:hAnsi="Times New Roman" w:cs="Times New Roman"/>
              </w:rPr>
              <w:t xml:space="preserve">  </w:t>
            </w:r>
            <w:r w:rsidR="00CE5525">
              <w:rPr>
                <w:rFonts w:ascii="Times New Roman" w:hAnsi="Times New Roman" w:cs="Times New Roman"/>
                <w:b/>
              </w:rPr>
              <w:t>(Revenue)</w:t>
            </w:r>
          </w:p>
          <w:p w14:paraId="4D9EF4E3" w14:textId="77777777" w:rsidR="00CE5525" w:rsidRDefault="00CE5525">
            <w:pPr>
              <w:numPr>
                <w:ilvl w:val="12"/>
                <w:numId w:val="0"/>
              </w:numPr>
              <w:ind w:left="360" w:hanging="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66259602" w14:textId="77777777" w:rsidR="00CE5525" w:rsidRDefault="00CE5525">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4AF8B9FF" w14:textId="77777777" w:rsidR="00CE5525" w:rsidRDefault="00CE5525">
            <w:pPr>
              <w:numPr>
                <w:ilvl w:val="12"/>
                <w:numId w:val="0"/>
              </w:numPr>
              <w:rPr>
                <w:rFonts w:ascii="Times New Roman" w:hAnsi="Times New Roman" w:cs="Times New Roman"/>
              </w:rPr>
            </w:pPr>
          </w:p>
        </w:tc>
      </w:tr>
      <w:tr w:rsidR="00CE5525" w14:paraId="10549695"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14661C74" w14:textId="77777777" w:rsidR="00CE5525" w:rsidRDefault="00185503" w:rsidP="000F2097">
            <w:pPr>
              <w:numPr>
                <w:ilvl w:val="0"/>
                <w:numId w:val="6"/>
              </w:numPr>
              <w:tabs>
                <w:tab w:val="clear" w:pos="360"/>
                <w:tab w:val="num" w:pos="660"/>
              </w:tabs>
              <w:ind w:left="660"/>
              <w:rPr>
                <w:rFonts w:ascii="Times New Roman" w:hAnsi="Times New Roman" w:cs="Times New Roman"/>
              </w:rPr>
            </w:pPr>
            <w:r>
              <w:rPr>
                <w:rFonts w:ascii="Times New Roman" w:hAnsi="Times New Roman" w:cs="Times New Roman"/>
              </w:rPr>
              <w:t>Complimentary admission charges</w:t>
            </w:r>
            <w:r w:rsidR="00B87AB4">
              <w:rPr>
                <w:rFonts w:ascii="Times New Roman" w:hAnsi="Times New Roman" w:cs="Times New Roman"/>
              </w:rPr>
              <w:t>.</w:t>
            </w:r>
            <w:r w:rsidR="00CE5525">
              <w:rPr>
                <w:rFonts w:ascii="Times New Roman" w:hAnsi="Times New Roman" w:cs="Times New Roman"/>
              </w:rPr>
              <w:t xml:space="preserve">  </w:t>
            </w:r>
            <w:r w:rsidR="00CE5525">
              <w:rPr>
                <w:rFonts w:ascii="Times New Roman" w:hAnsi="Times New Roman" w:cs="Times New Roman"/>
                <w:b/>
              </w:rPr>
              <w:t>(Revenue)</w:t>
            </w:r>
          </w:p>
          <w:p w14:paraId="2C5E546D" w14:textId="77777777" w:rsidR="00CE5525" w:rsidRDefault="00CE5525" w:rsidP="00C11D8E">
            <w:pPr>
              <w:numPr>
                <w:ilvl w:val="12"/>
                <w:numId w:val="0"/>
              </w:numPr>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39D99B9C" w14:textId="77777777" w:rsidR="00CE5525" w:rsidRDefault="00CE5525">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6C338A7C" w14:textId="77777777" w:rsidR="00CE5525" w:rsidRDefault="00CE5525">
            <w:pPr>
              <w:numPr>
                <w:ilvl w:val="12"/>
                <w:numId w:val="0"/>
              </w:numPr>
              <w:rPr>
                <w:rFonts w:ascii="Times New Roman" w:hAnsi="Times New Roman" w:cs="Times New Roman"/>
              </w:rPr>
            </w:pPr>
          </w:p>
        </w:tc>
      </w:tr>
      <w:tr w:rsidR="00CE5525" w14:paraId="38537F6B"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18219C63" w14:textId="77777777" w:rsidR="00CE5525" w:rsidRDefault="00A10B98" w:rsidP="000F2097">
            <w:pPr>
              <w:numPr>
                <w:ilvl w:val="0"/>
                <w:numId w:val="6"/>
              </w:numPr>
              <w:tabs>
                <w:tab w:val="clear" w:pos="360"/>
                <w:tab w:val="num" w:pos="660"/>
              </w:tabs>
              <w:ind w:left="660"/>
              <w:rPr>
                <w:rFonts w:ascii="Times New Roman" w:hAnsi="Times New Roman" w:cs="Times New Roman"/>
              </w:rPr>
            </w:pPr>
            <w:r>
              <w:rPr>
                <w:rFonts w:ascii="Times New Roman" w:hAnsi="Times New Roman" w:cs="Times New Roman"/>
              </w:rPr>
              <w:t>Required minimum purchase of food, beverages or merchandise.</w:t>
            </w:r>
            <w:r w:rsidR="00CE5525">
              <w:rPr>
                <w:rFonts w:ascii="Times New Roman" w:hAnsi="Times New Roman" w:cs="Times New Roman"/>
              </w:rPr>
              <w:t xml:space="preserve">  </w:t>
            </w:r>
            <w:r w:rsidR="00CE5525">
              <w:rPr>
                <w:rFonts w:ascii="Times New Roman" w:hAnsi="Times New Roman" w:cs="Times New Roman"/>
                <w:b/>
              </w:rPr>
              <w:t>(Revenue)</w:t>
            </w:r>
          </w:p>
          <w:p w14:paraId="5C7935AA" w14:textId="77777777" w:rsidR="00CE5525" w:rsidRDefault="00CE5525" w:rsidP="00C11D8E">
            <w:pPr>
              <w:ind w:left="300" w:hanging="346"/>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310CA156" w14:textId="77777777" w:rsidR="00CE5525" w:rsidRDefault="00CE5525">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4C962D45" w14:textId="77777777" w:rsidR="00CE5525" w:rsidRDefault="00CE5525">
            <w:pPr>
              <w:numPr>
                <w:ilvl w:val="12"/>
                <w:numId w:val="0"/>
              </w:numPr>
              <w:rPr>
                <w:rFonts w:ascii="Times New Roman" w:hAnsi="Times New Roman" w:cs="Times New Roman"/>
              </w:rPr>
            </w:pPr>
          </w:p>
        </w:tc>
      </w:tr>
      <w:tr w:rsidR="00862B57" w14:paraId="45833A7B"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val="1362"/>
          <w:jc w:val="center"/>
        </w:trPr>
        <w:tc>
          <w:tcPr>
            <w:tcW w:w="4951" w:type="dxa"/>
            <w:tcBorders>
              <w:top w:val="single" w:sz="4" w:space="0" w:color="auto"/>
              <w:left w:val="single" w:sz="4" w:space="0" w:color="auto"/>
              <w:bottom w:val="single" w:sz="4" w:space="0" w:color="auto"/>
              <w:right w:val="single" w:sz="4" w:space="0" w:color="auto"/>
            </w:tcBorders>
          </w:tcPr>
          <w:p w14:paraId="764BED0E" w14:textId="3D6BD192" w:rsidR="00AB43B0" w:rsidRPr="00E50A78" w:rsidRDefault="007F5AF7" w:rsidP="003D45AF">
            <w:pPr>
              <w:numPr>
                <w:ilvl w:val="0"/>
                <w:numId w:val="7"/>
              </w:numPr>
              <w:tabs>
                <w:tab w:val="clear" w:pos="360"/>
              </w:tabs>
              <w:ind w:left="314" w:hanging="314"/>
              <w:rPr>
                <w:rFonts w:ascii="Times New Roman" w:hAnsi="Times New Roman" w:cs="Times New Roman"/>
              </w:rPr>
            </w:pPr>
            <w:r>
              <w:rPr>
                <w:rFonts w:ascii="Times New Roman" w:hAnsi="Times New Roman" w:cs="Times New Roman"/>
              </w:rPr>
              <w:lastRenderedPageBreak/>
              <w:t>For facilities with a maximum occupancy of at least 7,500 persons, v</w:t>
            </w:r>
            <w:r w:rsidR="00862B57">
              <w:rPr>
                <w:rFonts w:ascii="Times New Roman" w:hAnsi="Times New Roman" w:cs="Times New Roman"/>
              </w:rPr>
              <w:t xml:space="preserve">erify </w:t>
            </w:r>
            <w:r w:rsidR="00046F1E">
              <w:rPr>
                <w:rFonts w:ascii="Times New Roman" w:hAnsi="Times New Roman" w:cs="Times New Roman"/>
              </w:rPr>
              <w:t xml:space="preserve">that </w:t>
            </w:r>
            <w:r w:rsidR="00862B57">
              <w:rPr>
                <w:rFonts w:ascii="Times New Roman" w:hAnsi="Times New Roman" w:cs="Times New Roman"/>
              </w:rPr>
              <w:t>the amount of admission charges related to luxury suites, boxes</w:t>
            </w:r>
            <w:r w:rsidR="00280D23">
              <w:rPr>
                <w:rFonts w:ascii="Times New Roman" w:hAnsi="Times New Roman" w:cs="Times New Roman"/>
              </w:rPr>
              <w:t>,</w:t>
            </w:r>
            <w:r w:rsidR="00862B57">
              <w:rPr>
                <w:rFonts w:ascii="Times New Roman" w:hAnsi="Times New Roman" w:cs="Times New Roman"/>
              </w:rPr>
              <w:t xml:space="preserve"> or similar products at a facility have been properly calculated</w:t>
            </w:r>
            <w:r>
              <w:rPr>
                <w:rFonts w:ascii="Times New Roman" w:hAnsi="Times New Roman" w:cs="Times New Roman"/>
              </w:rPr>
              <w:t>.</w:t>
            </w:r>
            <w:r w:rsidR="00226FCE">
              <w:rPr>
                <w:rFonts w:ascii="Times New Roman" w:hAnsi="Times New Roman" w:cs="Times New Roman"/>
              </w:rPr>
              <w:t xml:space="preserve">  </w:t>
            </w:r>
            <w:r w:rsidRPr="007F5AF7">
              <w:rPr>
                <w:rFonts w:ascii="Times New Roman" w:hAnsi="Times New Roman" w:cs="Times New Roman"/>
                <w:b/>
              </w:rPr>
              <w:t>(Revenue)</w:t>
            </w:r>
          </w:p>
          <w:p w14:paraId="700850D1" w14:textId="77777777" w:rsidR="00DA4443" w:rsidRPr="007F5AF7" w:rsidRDefault="00DA4443" w:rsidP="00880F88">
            <w:pPr>
              <w:rPr>
                <w:rFonts w:ascii="Times New Roman" w:hAnsi="Times New Roman" w:cs="Times New Roman"/>
                <w:sz w:val="8"/>
              </w:rPr>
            </w:pPr>
          </w:p>
        </w:tc>
        <w:tc>
          <w:tcPr>
            <w:tcW w:w="1082" w:type="dxa"/>
            <w:tcBorders>
              <w:top w:val="single" w:sz="6" w:space="0" w:color="auto"/>
              <w:left w:val="single" w:sz="4" w:space="0" w:color="auto"/>
              <w:bottom w:val="single" w:sz="6" w:space="0" w:color="auto"/>
              <w:right w:val="single" w:sz="6" w:space="0" w:color="auto"/>
            </w:tcBorders>
            <w:shd w:val="clear" w:color="auto" w:fill="auto"/>
          </w:tcPr>
          <w:p w14:paraId="0A115552" w14:textId="77777777" w:rsidR="00862B57" w:rsidRDefault="00862B5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clear" w:color="auto" w:fill="auto"/>
          </w:tcPr>
          <w:p w14:paraId="5602D3C6" w14:textId="77777777" w:rsidR="00862B57" w:rsidRDefault="00862B57">
            <w:pPr>
              <w:numPr>
                <w:ilvl w:val="12"/>
                <w:numId w:val="0"/>
              </w:numPr>
              <w:rPr>
                <w:rFonts w:ascii="Times New Roman" w:hAnsi="Times New Roman" w:cs="Times New Roman"/>
              </w:rPr>
            </w:pPr>
          </w:p>
        </w:tc>
      </w:tr>
      <w:tr w:rsidR="007F5AF7" w14:paraId="40ACE743"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56675B92" w14:textId="6C53B510" w:rsidR="007F5AF7" w:rsidRPr="007F5AF7" w:rsidRDefault="007F5AF7" w:rsidP="003D45AF">
            <w:pPr>
              <w:numPr>
                <w:ilvl w:val="0"/>
                <w:numId w:val="7"/>
              </w:numPr>
              <w:tabs>
                <w:tab w:val="clear" w:pos="360"/>
                <w:tab w:val="num" w:pos="314"/>
              </w:tabs>
              <w:ind w:left="314" w:hanging="314"/>
              <w:rPr>
                <w:rFonts w:ascii="Times New Roman" w:hAnsi="Times New Roman" w:cs="Times New Roman"/>
              </w:rPr>
            </w:pPr>
            <w:r>
              <w:rPr>
                <w:rFonts w:ascii="Times New Roman" w:hAnsi="Times New Roman" w:cs="Times New Roman"/>
              </w:rPr>
              <w:t>For facilities with a maximum occupancy of less than 7,500 persons, verify that the amount of admission charges related to luxury suites, boxes</w:t>
            </w:r>
            <w:r w:rsidR="00280D23">
              <w:rPr>
                <w:rFonts w:ascii="Times New Roman" w:hAnsi="Times New Roman" w:cs="Times New Roman"/>
              </w:rPr>
              <w:t>,</w:t>
            </w:r>
            <w:r>
              <w:rPr>
                <w:rFonts w:ascii="Times New Roman" w:hAnsi="Times New Roman" w:cs="Times New Roman"/>
              </w:rPr>
              <w:t xml:space="preserve"> or similar products at a facility have been properly calculated.  </w:t>
            </w:r>
            <w:r w:rsidRPr="007F5AF7">
              <w:rPr>
                <w:rFonts w:ascii="Times New Roman" w:hAnsi="Times New Roman" w:cs="Times New Roman"/>
                <w:b/>
              </w:rPr>
              <w:t>(Revenue)</w:t>
            </w:r>
          </w:p>
          <w:p w14:paraId="5630D68A" w14:textId="77777777" w:rsidR="007F5AF7" w:rsidRDefault="007F5AF7" w:rsidP="007F5AF7">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2AA3588E" w14:textId="77777777" w:rsidR="007F5AF7" w:rsidRDefault="007F5AF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5789130E" w14:textId="77777777" w:rsidR="007F5AF7" w:rsidRDefault="007F5AF7">
            <w:pPr>
              <w:numPr>
                <w:ilvl w:val="12"/>
                <w:numId w:val="0"/>
              </w:numPr>
              <w:rPr>
                <w:rFonts w:ascii="Times New Roman" w:hAnsi="Times New Roman" w:cs="Times New Roman"/>
              </w:rPr>
            </w:pPr>
          </w:p>
        </w:tc>
      </w:tr>
      <w:tr w:rsidR="00862B57" w14:paraId="509C46C3"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4430D3C0" w14:textId="77777777" w:rsidR="00862B57" w:rsidRPr="00862B57" w:rsidRDefault="00862B57" w:rsidP="002A6791">
            <w:pPr>
              <w:numPr>
                <w:ilvl w:val="0"/>
                <w:numId w:val="7"/>
              </w:numPr>
              <w:tabs>
                <w:tab w:val="clear" w:pos="360"/>
              </w:tabs>
              <w:ind w:left="314" w:hanging="314"/>
              <w:rPr>
                <w:rFonts w:ascii="Times New Roman" w:hAnsi="Times New Roman" w:cs="Times New Roman"/>
              </w:rPr>
            </w:pPr>
            <w:r>
              <w:rPr>
                <w:rFonts w:ascii="Times New Roman" w:hAnsi="Times New Roman" w:cs="Times New Roman"/>
              </w:rPr>
              <w:t>Trace the amount</w:t>
            </w:r>
            <w:r w:rsidR="00DA4443">
              <w:rPr>
                <w:rFonts w:ascii="Times New Roman" w:hAnsi="Times New Roman" w:cs="Times New Roman"/>
              </w:rPr>
              <w:t>(</w:t>
            </w:r>
            <w:r w:rsidR="00B725B2">
              <w:rPr>
                <w:rFonts w:ascii="Times New Roman" w:hAnsi="Times New Roman" w:cs="Times New Roman"/>
              </w:rPr>
              <w:t>s</w:t>
            </w:r>
            <w:r w:rsidR="00DA4443">
              <w:rPr>
                <w:rFonts w:ascii="Times New Roman" w:hAnsi="Times New Roman" w:cs="Times New Roman"/>
              </w:rPr>
              <w:t>)</w:t>
            </w:r>
            <w:r>
              <w:rPr>
                <w:rFonts w:ascii="Times New Roman" w:hAnsi="Times New Roman" w:cs="Times New Roman"/>
              </w:rPr>
              <w:t xml:space="preserve"> verified in </w:t>
            </w:r>
            <w:r w:rsidR="00DA4443">
              <w:rPr>
                <w:rFonts w:ascii="Times New Roman" w:hAnsi="Times New Roman" w:cs="Times New Roman"/>
              </w:rPr>
              <w:t xml:space="preserve">the </w:t>
            </w:r>
            <w:r w:rsidR="00B725B2">
              <w:rPr>
                <w:rFonts w:ascii="Times New Roman" w:hAnsi="Times New Roman" w:cs="Times New Roman"/>
              </w:rPr>
              <w:t xml:space="preserve">previous </w:t>
            </w:r>
            <w:r w:rsidR="007F5AF7">
              <w:rPr>
                <w:rFonts w:ascii="Times New Roman" w:hAnsi="Times New Roman" w:cs="Times New Roman"/>
              </w:rPr>
              <w:t>two</w:t>
            </w:r>
            <w:r w:rsidR="002A6791">
              <w:rPr>
                <w:rFonts w:ascii="Times New Roman" w:hAnsi="Times New Roman" w:cs="Times New Roman"/>
              </w:rPr>
              <w:t xml:space="preserve"> </w:t>
            </w:r>
            <w:r w:rsidR="00D9232A">
              <w:rPr>
                <w:rFonts w:ascii="Times New Roman" w:hAnsi="Times New Roman" w:cs="Times New Roman"/>
              </w:rPr>
              <w:t>questions</w:t>
            </w:r>
            <w:r>
              <w:rPr>
                <w:rFonts w:ascii="Times New Roman" w:hAnsi="Times New Roman" w:cs="Times New Roman"/>
              </w:rPr>
              <w:t xml:space="preserve"> to the daily admissions summary.</w:t>
            </w:r>
            <w:r w:rsidR="008B6A8C">
              <w:rPr>
                <w:rFonts w:ascii="Times New Roman" w:hAnsi="Times New Roman" w:cs="Times New Roman"/>
              </w:rPr>
              <w:t xml:space="preserve"> </w:t>
            </w:r>
            <w:r>
              <w:rPr>
                <w:rFonts w:ascii="Times New Roman" w:hAnsi="Times New Roman" w:cs="Times New Roman"/>
              </w:rPr>
              <w:t xml:space="preserve"> </w:t>
            </w:r>
            <w:r w:rsidRPr="00862B57">
              <w:rPr>
                <w:rFonts w:ascii="Times New Roman" w:hAnsi="Times New Roman" w:cs="Times New Roman"/>
                <w:b/>
              </w:rPr>
              <w:t>(Revenue)</w:t>
            </w:r>
          </w:p>
          <w:p w14:paraId="2038417F" w14:textId="77777777" w:rsidR="00862B57" w:rsidRDefault="00862B57" w:rsidP="00EC7182">
            <w:pPr>
              <w:ind w:left="314" w:hanging="46"/>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29356953" w14:textId="77777777" w:rsidR="00862B57" w:rsidRDefault="00862B5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011653DF" w14:textId="77777777" w:rsidR="00862B57" w:rsidRDefault="00862B57">
            <w:pPr>
              <w:numPr>
                <w:ilvl w:val="12"/>
                <w:numId w:val="0"/>
              </w:numPr>
              <w:rPr>
                <w:rFonts w:ascii="Times New Roman" w:hAnsi="Times New Roman" w:cs="Times New Roman"/>
              </w:rPr>
            </w:pPr>
          </w:p>
        </w:tc>
      </w:tr>
      <w:tr w:rsidR="00BF1554" w14:paraId="006C762A"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16537BE3" w14:textId="77777777" w:rsidR="00BF1554" w:rsidRDefault="00BF1554" w:rsidP="00BF1554">
            <w:pPr>
              <w:ind w:left="314" w:hanging="314"/>
              <w:rPr>
                <w:rFonts w:ascii="Times New Roman" w:hAnsi="Times New Roman" w:cs="Times New Roman"/>
                <w:b/>
              </w:rPr>
            </w:pPr>
            <w:r>
              <w:rPr>
                <w:rFonts w:ascii="Times New Roman" w:hAnsi="Times New Roman" w:cs="Times New Roman"/>
              </w:rPr>
              <w:t>8.   Food and cross-foot the daily admission</w:t>
            </w:r>
            <w:r w:rsidR="00ED7BAD">
              <w:rPr>
                <w:rFonts w:ascii="Times New Roman" w:hAnsi="Times New Roman" w:cs="Times New Roman"/>
              </w:rPr>
              <w:t>s summary.</w:t>
            </w:r>
            <w:r>
              <w:rPr>
                <w:rFonts w:ascii="Times New Roman" w:hAnsi="Times New Roman" w:cs="Times New Roman"/>
              </w:rPr>
              <w:t xml:space="preserve">  </w:t>
            </w:r>
            <w:r w:rsidRPr="00BF1554">
              <w:rPr>
                <w:rFonts w:ascii="Times New Roman" w:hAnsi="Times New Roman" w:cs="Times New Roman"/>
                <w:b/>
              </w:rPr>
              <w:t>(Revenue)</w:t>
            </w:r>
          </w:p>
          <w:p w14:paraId="1BC478A0" w14:textId="77777777" w:rsidR="00BF1554" w:rsidRDefault="00BF1554" w:rsidP="00BF1554">
            <w:pPr>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5B545EB3" w14:textId="77777777" w:rsidR="00BF1554" w:rsidRDefault="00BF1554">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4EC1EB4B" w14:textId="77777777" w:rsidR="00BF1554" w:rsidRDefault="00BF1554">
            <w:pPr>
              <w:numPr>
                <w:ilvl w:val="12"/>
                <w:numId w:val="0"/>
              </w:numPr>
              <w:rPr>
                <w:rFonts w:ascii="Times New Roman" w:hAnsi="Times New Roman" w:cs="Times New Roman"/>
              </w:rPr>
            </w:pPr>
          </w:p>
        </w:tc>
      </w:tr>
      <w:tr w:rsidR="00820677" w14:paraId="71ECFB9F"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5BFDDB89" w14:textId="77777777" w:rsidR="001B6020" w:rsidRDefault="00ED7BAD" w:rsidP="00ED7BAD">
            <w:pPr>
              <w:ind w:left="314" w:hanging="314"/>
              <w:rPr>
                <w:rFonts w:ascii="Times New Roman" w:hAnsi="Times New Roman" w:cs="Times New Roman"/>
              </w:rPr>
            </w:pPr>
            <w:r>
              <w:rPr>
                <w:rFonts w:ascii="Times New Roman" w:hAnsi="Times New Roman" w:cs="Times New Roman"/>
              </w:rPr>
              <w:t>9</w:t>
            </w:r>
            <w:r w:rsidR="00820677">
              <w:rPr>
                <w:rFonts w:ascii="Times New Roman" w:hAnsi="Times New Roman" w:cs="Times New Roman"/>
              </w:rPr>
              <w:t xml:space="preserve">.  </w:t>
            </w:r>
            <w:r>
              <w:rPr>
                <w:rFonts w:ascii="Times New Roman" w:hAnsi="Times New Roman" w:cs="Times New Roman"/>
              </w:rPr>
              <w:t xml:space="preserve"> </w:t>
            </w:r>
            <w:r w:rsidR="00820677">
              <w:rPr>
                <w:rFonts w:ascii="Times New Roman" w:hAnsi="Times New Roman" w:cs="Times New Roman"/>
              </w:rPr>
              <w:t>Trace/reconcile all the amounts on the daily admissions summary to the daily amount</w:t>
            </w:r>
            <w:r w:rsidR="005A4A97">
              <w:rPr>
                <w:rFonts w:ascii="Times New Roman" w:hAnsi="Times New Roman" w:cs="Times New Roman"/>
              </w:rPr>
              <w:t>s</w:t>
            </w:r>
            <w:r w:rsidR="00820677">
              <w:rPr>
                <w:rFonts w:ascii="Times New Roman" w:hAnsi="Times New Roman" w:cs="Times New Roman"/>
              </w:rPr>
              <w:t xml:space="preserve"> in the monthly entertainment recap report for the following:</w:t>
            </w:r>
          </w:p>
          <w:p w14:paraId="34DBEC0A" w14:textId="77777777" w:rsidR="00820677" w:rsidRDefault="00820677" w:rsidP="00514017">
            <w:pPr>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shd w:val="clear" w:color="auto" w:fill="D9D9D9"/>
          </w:tcPr>
          <w:p w14:paraId="73FB15B2" w14:textId="77777777" w:rsidR="00820677" w:rsidRDefault="0082067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clear" w:color="auto" w:fill="D9D9D9"/>
          </w:tcPr>
          <w:p w14:paraId="027C343F" w14:textId="77777777" w:rsidR="00820677" w:rsidRDefault="00820677">
            <w:pPr>
              <w:numPr>
                <w:ilvl w:val="12"/>
                <w:numId w:val="0"/>
              </w:numPr>
              <w:rPr>
                <w:rFonts w:ascii="Times New Roman" w:hAnsi="Times New Roman" w:cs="Times New Roman"/>
              </w:rPr>
            </w:pPr>
          </w:p>
        </w:tc>
      </w:tr>
      <w:tr w:rsidR="00820677" w14:paraId="180F0F76"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2B7DFF72" w14:textId="77777777" w:rsidR="00820677" w:rsidRDefault="00820677" w:rsidP="00820677">
            <w:pPr>
              <w:numPr>
                <w:ilvl w:val="1"/>
                <w:numId w:val="8"/>
              </w:numPr>
              <w:ind w:firstLine="390"/>
              <w:rPr>
                <w:rFonts w:ascii="Times New Roman" w:hAnsi="Times New Roman" w:cs="Times New Roman"/>
              </w:rPr>
            </w:pPr>
            <w:r>
              <w:rPr>
                <w:rFonts w:ascii="Times New Roman" w:hAnsi="Times New Roman" w:cs="Times New Roman"/>
              </w:rPr>
              <w:t xml:space="preserve">Taxable admission charges.  </w:t>
            </w:r>
            <w:r>
              <w:rPr>
                <w:rFonts w:ascii="Times New Roman" w:hAnsi="Times New Roman" w:cs="Times New Roman"/>
                <w:b/>
              </w:rPr>
              <w:t>(Revenue)</w:t>
            </w:r>
          </w:p>
          <w:p w14:paraId="1BBD8C90" w14:textId="77777777" w:rsidR="00820677" w:rsidRDefault="00820677" w:rsidP="00820677">
            <w:pPr>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shd w:val="clear" w:color="auto" w:fill="auto"/>
          </w:tcPr>
          <w:p w14:paraId="51C6231D" w14:textId="77777777" w:rsidR="00820677" w:rsidRDefault="0082067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clear" w:color="auto" w:fill="auto"/>
          </w:tcPr>
          <w:p w14:paraId="393DEF38" w14:textId="77777777" w:rsidR="00820677" w:rsidRDefault="00820677">
            <w:pPr>
              <w:numPr>
                <w:ilvl w:val="12"/>
                <w:numId w:val="0"/>
              </w:numPr>
              <w:rPr>
                <w:rFonts w:ascii="Times New Roman" w:hAnsi="Times New Roman" w:cs="Times New Roman"/>
              </w:rPr>
            </w:pPr>
          </w:p>
        </w:tc>
      </w:tr>
      <w:tr w:rsidR="00820677" w14:paraId="4FAF5EAB"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14D0ECB9" w14:textId="77777777" w:rsidR="00820677" w:rsidRDefault="00820677" w:rsidP="00820677">
            <w:pPr>
              <w:numPr>
                <w:ilvl w:val="1"/>
                <w:numId w:val="8"/>
              </w:numPr>
              <w:tabs>
                <w:tab w:val="clear" w:pos="360"/>
                <w:tab w:val="num" w:pos="764"/>
              </w:tabs>
              <w:ind w:left="314" w:firstLine="90"/>
              <w:rPr>
                <w:rFonts w:ascii="Times New Roman" w:hAnsi="Times New Roman" w:cs="Times New Roman"/>
              </w:rPr>
            </w:pPr>
            <w:r>
              <w:rPr>
                <w:rFonts w:ascii="Times New Roman" w:hAnsi="Times New Roman" w:cs="Times New Roman"/>
              </w:rPr>
              <w:t xml:space="preserve">Nontaxable admission charges.  </w:t>
            </w:r>
            <w:r>
              <w:rPr>
                <w:rFonts w:ascii="Times New Roman" w:hAnsi="Times New Roman" w:cs="Times New Roman"/>
                <w:b/>
              </w:rPr>
              <w:t>(Revenue)</w:t>
            </w:r>
          </w:p>
          <w:p w14:paraId="2E163A4B" w14:textId="77777777" w:rsidR="00820677" w:rsidRDefault="00820677" w:rsidP="00820677">
            <w:pPr>
              <w:ind w:left="39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shd w:val="clear" w:color="auto" w:fill="auto"/>
          </w:tcPr>
          <w:p w14:paraId="25C714DB" w14:textId="77777777" w:rsidR="00820677" w:rsidRDefault="0082067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clear" w:color="auto" w:fill="auto"/>
          </w:tcPr>
          <w:p w14:paraId="6177E595" w14:textId="77777777" w:rsidR="00820677" w:rsidRDefault="00820677">
            <w:pPr>
              <w:numPr>
                <w:ilvl w:val="12"/>
                <w:numId w:val="0"/>
              </w:numPr>
              <w:rPr>
                <w:rFonts w:ascii="Times New Roman" w:hAnsi="Times New Roman" w:cs="Times New Roman"/>
              </w:rPr>
            </w:pPr>
          </w:p>
        </w:tc>
      </w:tr>
      <w:tr w:rsidR="00820677" w14:paraId="4F6BF4F9"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15CFA249" w14:textId="77777777" w:rsidR="00820677" w:rsidRDefault="00820677" w:rsidP="00820677">
            <w:pPr>
              <w:numPr>
                <w:ilvl w:val="1"/>
                <w:numId w:val="8"/>
              </w:numPr>
              <w:tabs>
                <w:tab w:val="clear" w:pos="360"/>
                <w:tab w:val="num" w:pos="764"/>
              </w:tabs>
              <w:ind w:firstLine="404"/>
              <w:rPr>
                <w:rFonts w:ascii="Times New Roman" w:hAnsi="Times New Roman" w:cs="Times New Roman"/>
              </w:rPr>
            </w:pPr>
            <w:r>
              <w:rPr>
                <w:rFonts w:ascii="Times New Roman" w:hAnsi="Times New Roman" w:cs="Times New Roman"/>
              </w:rPr>
              <w:t xml:space="preserve">Complimentary admission charges.  </w:t>
            </w:r>
            <w:r>
              <w:rPr>
                <w:rFonts w:ascii="Times New Roman" w:hAnsi="Times New Roman" w:cs="Times New Roman"/>
                <w:b/>
              </w:rPr>
              <w:t>(Revenue)</w:t>
            </w:r>
          </w:p>
          <w:p w14:paraId="59918E07" w14:textId="77777777" w:rsidR="00820677" w:rsidRDefault="00820677" w:rsidP="00820677">
            <w:pPr>
              <w:ind w:left="404"/>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shd w:val="clear" w:color="auto" w:fill="auto"/>
          </w:tcPr>
          <w:p w14:paraId="400295A2" w14:textId="77777777" w:rsidR="00820677" w:rsidRDefault="0082067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clear" w:color="auto" w:fill="auto"/>
          </w:tcPr>
          <w:p w14:paraId="3E3341B1" w14:textId="77777777" w:rsidR="00820677" w:rsidRDefault="00820677">
            <w:pPr>
              <w:numPr>
                <w:ilvl w:val="12"/>
                <w:numId w:val="0"/>
              </w:numPr>
              <w:rPr>
                <w:rFonts w:ascii="Times New Roman" w:hAnsi="Times New Roman" w:cs="Times New Roman"/>
              </w:rPr>
            </w:pPr>
          </w:p>
        </w:tc>
      </w:tr>
      <w:tr w:rsidR="00820677" w14:paraId="11294289"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7BA1CDD8" w14:textId="62561DA6" w:rsidR="00820677" w:rsidRDefault="001B6020" w:rsidP="001B6020">
            <w:pPr>
              <w:numPr>
                <w:ilvl w:val="1"/>
                <w:numId w:val="8"/>
              </w:numPr>
              <w:tabs>
                <w:tab w:val="clear" w:pos="360"/>
                <w:tab w:val="num" w:pos="764"/>
              </w:tabs>
              <w:ind w:left="764" w:hanging="360"/>
              <w:rPr>
                <w:rFonts w:ascii="Times New Roman" w:hAnsi="Times New Roman" w:cs="Times New Roman"/>
              </w:rPr>
            </w:pPr>
            <w:r>
              <w:rPr>
                <w:rFonts w:ascii="Times New Roman" w:hAnsi="Times New Roman" w:cs="Times New Roman"/>
              </w:rPr>
              <w:t>Required minimum purchase of food, beverages</w:t>
            </w:r>
            <w:r w:rsidR="00280D23">
              <w:rPr>
                <w:rFonts w:ascii="Times New Roman" w:hAnsi="Times New Roman" w:cs="Times New Roman"/>
              </w:rPr>
              <w:t>,</w:t>
            </w:r>
            <w:r>
              <w:rPr>
                <w:rFonts w:ascii="Times New Roman" w:hAnsi="Times New Roman" w:cs="Times New Roman"/>
              </w:rPr>
              <w:t xml:space="preserve"> or merchandise.  </w:t>
            </w:r>
            <w:r>
              <w:rPr>
                <w:rFonts w:ascii="Times New Roman" w:hAnsi="Times New Roman" w:cs="Times New Roman"/>
                <w:b/>
              </w:rPr>
              <w:t>(Revenue)</w:t>
            </w:r>
            <w:r>
              <w:rPr>
                <w:rFonts w:ascii="Times New Roman" w:hAnsi="Times New Roman" w:cs="Times New Roman"/>
              </w:rPr>
              <w:t xml:space="preserve"> </w:t>
            </w:r>
          </w:p>
          <w:p w14:paraId="0962CC10" w14:textId="77777777" w:rsidR="001B6020" w:rsidRPr="001B6020" w:rsidRDefault="001B6020" w:rsidP="001B6020">
            <w:pPr>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shd w:val="clear" w:color="auto" w:fill="auto"/>
          </w:tcPr>
          <w:p w14:paraId="2E3B2734" w14:textId="77777777" w:rsidR="00820677" w:rsidRDefault="0082067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clear" w:color="auto" w:fill="auto"/>
          </w:tcPr>
          <w:p w14:paraId="2E5BC1DF" w14:textId="77777777" w:rsidR="00820677" w:rsidRDefault="00820677">
            <w:pPr>
              <w:numPr>
                <w:ilvl w:val="12"/>
                <w:numId w:val="0"/>
              </w:numPr>
              <w:rPr>
                <w:rFonts w:ascii="Times New Roman" w:hAnsi="Times New Roman" w:cs="Times New Roman"/>
              </w:rPr>
            </w:pPr>
          </w:p>
        </w:tc>
      </w:tr>
      <w:tr w:rsidR="00FE3264" w14:paraId="3800CEF9"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76EA2FEC" w14:textId="77777777" w:rsidR="00FE3264" w:rsidRDefault="00ED7BAD" w:rsidP="00514017">
            <w:pPr>
              <w:pStyle w:val="Default"/>
              <w:ind w:left="404" w:hanging="404"/>
              <w:rPr>
                <w:sz w:val="20"/>
                <w:szCs w:val="20"/>
              </w:rPr>
            </w:pPr>
            <w:r>
              <w:rPr>
                <w:sz w:val="20"/>
                <w:szCs w:val="20"/>
              </w:rPr>
              <w:t>10</w:t>
            </w:r>
            <w:r w:rsidR="001B6020">
              <w:rPr>
                <w:sz w:val="20"/>
                <w:szCs w:val="20"/>
              </w:rPr>
              <w:t>.</w:t>
            </w:r>
            <w:r w:rsidR="00FE3264">
              <w:rPr>
                <w:sz w:val="20"/>
                <w:szCs w:val="20"/>
              </w:rPr>
              <w:t xml:space="preserve">   Verify that package program breakdowns have been performed. </w:t>
            </w:r>
            <w:r w:rsidR="00544097">
              <w:rPr>
                <w:sz w:val="20"/>
                <w:szCs w:val="20"/>
              </w:rPr>
              <w:t xml:space="preserve"> </w:t>
            </w:r>
            <w:r w:rsidR="00FE3264">
              <w:rPr>
                <w:sz w:val="20"/>
                <w:szCs w:val="20"/>
              </w:rPr>
              <w:t>Select one package program and verify that the breakdown complies with NAC 368A.450(5).</w:t>
            </w:r>
            <w:r w:rsidR="00353485">
              <w:rPr>
                <w:sz w:val="20"/>
                <w:szCs w:val="20"/>
              </w:rPr>
              <w:t xml:space="preserve">  </w:t>
            </w:r>
            <w:r w:rsidR="00FE3264">
              <w:rPr>
                <w:sz w:val="20"/>
                <w:szCs w:val="20"/>
              </w:rPr>
              <w:t>Verify that entertainment revenue from</w:t>
            </w:r>
            <w:r w:rsidR="00401A06">
              <w:rPr>
                <w:sz w:val="20"/>
                <w:szCs w:val="20"/>
              </w:rPr>
              <w:t xml:space="preserve"> </w:t>
            </w:r>
            <w:r w:rsidR="00FE3264">
              <w:rPr>
                <w:sz w:val="20"/>
                <w:szCs w:val="20"/>
              </w:rPr>
              <w:t xml:space="preserve">package program items is </w:t>
            </w:r>
            <w:r w:rsidR="00660EDF">
              <w:rPr>
                <w:sz w:val="20"/>
                <w:szCs w:val="20"/>
              </w:rPr>
              <w:t>properly computed</w:t>
            </w:r>
            <w:r w:rsidR="00544097">
              <w:rPr>
                <w:sz w:val="20"/>
                <w:szCs w:val="20"/>
              </w:rPr>
              <w:t xml:space="preserve">. </w:t>
            </w:r>
            <w:r w:rsidR="00FE3264">
              <w:rPr>
                <w:sz w:val="20"/>
                <w:szCs w:val="20"/>
              </w:rPr>
              <w:t xml:space="preserve"> </w:t>
            </w:r>
            <w:r w:rsidR="00FE3264">
              <w:rPr>
                <w:b/>
                <w:bCs/>
                <w:sz w:val="20"/>
                <w:szCs w:val="20"/>
              </w:rPr>
              <w:t xml:space="preserve">(Revenue) </w:t>
            </w:r>
          </w:p>
          <w:p w14:paraId="113D6CBE" w14:textId="77777777" w:rsidR="00FE3264" w:rsidRDefault="00FE3264" w:rsidP="00FE3264">
            <w:pPr>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7C81802C" w14:textId="77777777" w:rsidR="00FE3264" w:rsidRDefault="00FE3264">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0F1F1F4F" w14:textId="77777777" w:rsidR="00FE3264" w:rsidRDefault="00FE3264">
            <w:pPr>
              <w:numPr>
                <w:ilvl w:val="12"/>
                <w:numId w:val="0"/>
              </w:numPr>
              <w:rPr>
                <w:rFonts w:ascii="Times New Roman" w:hAnsi="Times New Roman" w:cs="Times New Roman"/>
              </w:rPr>
            </w:pPr>
          </w:p>
        </w:tc>
      </w:tr>
      <w:tr w:rsidR="00FE3264" w14:paraId="77F3396B"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121105EB" w14:textId="77777777" w:rsidR="00FE3264" w:rsidRPr="00E350E4" w:rsidRDefault="00FE3264" w:rsidP="00514017">
            <w:pPr>
              <w:numPr>
                <w:ilvl w:val="0"/>
                <w:numId w:val="20"/>
              </w:numPr>
              <w:rPr>
                <w:rFonts w:ascii="Times New Roman" w:hAnsi="Times New Roman" w:cs="Times New Roman"/>
              </w:rPr>
            </w:pPr>
            <w:r w:rsidRPr="00E350E4">
              <w:rPr>
                <w:rFonts w:ascii="Times New Roman" w:hAnsi="Times New Roman" w:cs="Times New Roman"/>
              </w:rPr>
              <w:t>Trace the amount verified in</w:t>
            </w:r>
            <w:r>
              <w:rPr>
                <w:rFonts w:ascii="Times New Roman" w:hAnsi="Times New Roman" w:cs="Times New Roman"/>
              </w:rPr>
              <w:t xml:space="preserve"> the previous question</w:t>
            </w:r>
            <w:r w:rsidRPr="00E350E4">
              <w:rPr>
                <w:rFonts w:ascii="Times New Roman" w:hAnsi="Times New Roman" w:cs="Times New Roman"/>
              </w:rPr>
              <w:t xml:space="preserve"> to the </w:t>
            </w:r>
            <w:r>
              <w:rPr>
                <w:rFonts w:ascii="Times New Roman" w:hAnsi="Times New Roman" w:cs="Times New Roman"/>
              </w:rPr>
              <w:t>monthly entertainment recap report</w:t>
            </w:r>
            <w:r w:rsidRPr="00E350E4">
              <w:rPr>
                <w:rFonts w:ascii="Times New Roman" w:hAnsi="Times New Roman" w:cs="Times New Roman"/>
              </w:rPr>
              <w:t xml:space="preserve">.  </w:t>
            </w:r>
            <w:r w:rsidRPr="00E350E4">
              <w:rPr>
                <w:rFonts w:ascii="Times New Roman" w:hAnsi="Times New Roman" w:cs="Times New Roman"/>
                <w:b/>
              </w:rPr>
              <w:t>(Revenue)</w:t>
            </w:r>
          </w:p>
          <w:p w14:paraId="321CCB95" w14:textId="77777777" w:rsidR="00FE3264" w:rsidRDefault="00FE3264" w:rsidP="00FE3264">
            <w:pPr>
              <w:pStyle w:val="Default"/>
              <w:ind w:left="314" w:hanging="314"/>
              <w:rPr>
                <w:sz w:val="20"/>
                <w:szCs w:val="20"/>
              </w:rPr>
            </w:pPr>
          </w:p>
        </w:tc>
        <w:tc>
          <w:tcPr>
            <w:tcW w:w="1082" w:type="dxa"/>
            <w:tcBorders>
              <w:top w:val="single" w:sz="6" w:space="0" w:color="auto"/>
              <w:left w:val="single" w:sz="4" w:space="0" w:color="auto"/>
              <w:bottom w:val="single" w:sz="6" w:space="0" w:color="auto"/>
              <w:right w:val="single" w:sz="6" w:space="0" w:color="auto"/>
            </w:tcBorders>
          </w:tcPr>
          <w:p w14:paraId="15BAEA59" w14:textId="77777777" w:rsidR="00FE3264" w:rsidRDefault="00FE3264">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3EBD1C4B" w14:textId="77777777" w:rsidR="00FE3264" w:rsidRDefault="00FE3264">
            <w:pPr>
              <w:numPr>
                <w:ilvl w:val="12"/>
                <w:numId w:val="0"/>
              </w:numPr>
              <w:rPr>
                <w:rFonts w:ascii="Times New Roman" w:hAnsi="Times New Roman" w:cs="Times New Roman"/>
              </w:rPr>
            </w:pPr>
          </w:p>
        </w:tc>
      </w:tr>
      <w:tr w:rsidR="00FE3264" w14:paraId="458DD1A5"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48EEA559" w14:textId="77777777" w:rsidR="00FE3264" w:rsidRDefault="00ED7BAD" w:rsidP="003D45AF">
            <w:pPr>
              <w:pStyle w:val="Default"/>
              <w:ind w:left="314" w:hanging="314"/>
              <w:rPr>
                <w:sz w:val="20"/>
                <w:szCs w:val="20"/>
              </w:rPr>
            </w:pPr>
            <w:r>
              <w:rPr>
                <w:sz w:val="20"/>
                <w:szCs w:val="20"/>
              </w:rPr>
              <w:lastRenderedPageBreak/>
              <w:t>12</w:t>
            </w:r>
            <w:r w:rsidR="00FE3264">
              <w:rPr>
                <w:sz w:val="20"/>
                <w:szCs w:val="20"/>
              </w:rPr>
              <w:t>.</w:t>
            </w:r>
            <w:r w:rsidR="008528A5">
              <w:rPr>
                <w:sz w:val="20"/>
                <w:szCs w:val="20"/>
              </w:rPr>
              <w:t xml:space="preserve"> </w:t>
            </w:r>
            <w:r w:rsidR="00FE3264">
              <w:rPr>
                <w:sz w:val="20"/>
                <w:szCs w:val="20"/>
              </w:rPr>
              <w:t xml:space="preserve">Verify that the entertainment revenue subject to tax has been determined for discount show tickets. </w:t>
            </w:r>
            <w:r w:rsidR="00544097">
              <w:rPr>
                <w:sz w:val="20"/>
                <w:szCs w:val="20"/>
              </w:rPr>
              <w:t xml:space="preserve"> </w:t>
            </w:r>
            <w:r w:rsidR="00FE3264">
              <w:rPr>
                <w:sz w:val="20"/>
                <w:szCs w:val="20"/>
              </w:rPr>
              <w:t>Select one type of discounted show ticket and verify that the entertainment revenue is properly computed</w:t>
            </w:r>
            <w:r w:rsidR="00544097">
              <w:rPr>
                <w:sz w:val="20"/>
                <w:szCs w:val="20"/>
              </w:rPr>
              <w:t>.</w:t>
            </w:r>
            <w:r w:rsidR="00FE3264">
              <w:rPr>
                <w:sz w:val="20"/>
                <w:szCs w:val="20"/>
              </w:rPr>
              <w:t xml:space="preserve"> </w:t>
            </w:r>
            <w:r w:rsidR="00544097">
              <w:rPr>
                <w:sz w:val="20"/>
                <w:szCs w:val="20"/>
              </w:rPr>
              <w:t xml:space="preserve"> </w:t>
            </w:r>
            <w:r w:rsidR="00FE3264">
              <w:rPr>
                <w:b/>
                <w:bCs/>
                <w:sz w:val="20"/>
                <w:szCs w:val="20"/>
              </w:rPr>
              <w:t xml:space="preserve">(Revenue) </w:t>
            </w:r>
          </w:p>
          <w:p w14:paraId="064A1B55" w14:textId="77777777" w:rsidR="00FE3264" w:rsidRPr="00E350E4" w:rsidRDefault="00FE3264" w:rsidP="00FE3264">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640730BE" w14:textId="77777777" w:rsidR="00FE3264" w:rsidRDefault="00FE3264">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02E5D0F4" w14:textId="77777777" w:rsidR="00FE3264" w:rsidRDefault="00FE3264">
            <w:pPr>
              <w:numPr>
                <w:ilvl w:val="12"/>
                <w:numId w:val="0"/>
              </w:numPr>
              <w:rPr>
                <w:rFonts w:ascii="Times New Roman" w:hAnsi="Times New Roman" w:cs="Times New Roman"/>
              </w:rPr>
            </w:pPr>
          </w:p>
        </w:tc>
      </w:tr>
      <w:tr w:rsidR="00FE3264" w14:paraId="416F5501"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6CB078D7" w14:textId="77777777" w:rsidR="00FE3264" w:rsidRPr="00E350E4" w:rsidRDefault="00FE3264" w:rsidP="003D45AF">
            <w:pPr>
              <w:numPr>
                <w:ilvl w:val="0"/>
                <w:numId w:val="24"/>
              </w:numPr>
              <w:tabs>
                <w:tab w:val="clear" w:pos="360"/>
                <w:tab w:val="num" w:pos="224"/>
              </w:tabs>
              <w:ind w:left="314" w:hanging="314"/>
              <w:rPr>
                <w:rFonts w:ascii="Times New Roman" w:hAnsi="Times New Roman" w:cs="Times New Roman"/>
              </w:rPr>
            </w:pPr>
            <w:r w:rsidRPr="00E350E4">
              <w:rPr>
                <w:rFonts w:ascii="Times New Roman" w:hAnsi="Times New Roman" w:cs="Times New Roman"/>
              </w:rPr>
              <w:t xml:space="preserve">Trace the amount verified </w:t>
            </w:r>
            <w:r>
              <w:rPr>
                <w:rFonts w:ascii="Times New Roman" w:hAnsi="Times New Roman" w:cs="Times New Roman"/>
              </w:rPr>
              <w:t xml:space="preserve">in the previous question </w:t>
            </w:r>
            <w:r w:rsidRPr="00E350E4">
              <w:rPr>
                <w:rFonts w:ascii="Times New Roman" w:hAnsi="Times New Roman" w:cs="Times New Roman"/>
              </w:rPr>
              <w:t xml:space="preserve">to the </w:t>
            </w:r>
            <w:r>
              <w:rPr>
                <w:rFonts w:ascii="Times New Roman" w:hAnsi="Times New Roman" w:cs="Times New Roman"/>
              </w:rPr>
              <w:t>monthly entertainment recap report</w:t>
            </w:r>
            <w:r w:rsidRPr="00E350E4">
              <w:rPr>
                <w:rFonts w:ascii="Times New Roman" w:hAnsi="Times New Roman" w:cs="Times New Roman"/>
              </w:rPr>
              <w:t xml:space="preserve">. </w:t>
            </w:r>
            <w:r w:rsidR="008B6A8C">
              <w:rPr>
                <w:rFonts w:ascii="Times New Roman" w:hAnsi="Times New Roman" w:cs="Times New Roman"/>
              </w:rPr>
              <w:t xml:space="preserve"> </w:t>
            </w:r>
            <w:r w:rsidRPr="00E350E4">
              <w:rPr>
                <w:rFonts w:ascii="Times New Roman" w:hAnsi="Times New Roman" w:cs="Times New Roman"/>
                <w:b/>
              </w:rPr>
              <w:t>(Revenue)</w:t>
            </w:r>
          </w:p>
          <w:p w14:paraId="4918AF0A" w14:textId="77777777" w:rsidR="00FE3264" w:rsidRDefault="00FE3264" w:rsidP="00FE3264">
            <w:pPr>
              <w:pStyle w:val="Default"/>
              <w:ind w:left="314" w:hanging="314"/>
              <w:rPr>
                <w:sz w:val="20"/>
                <w:szCs w:val="20"/>
              </w:rPr>
            </w:pPr>
          </w:p>
        </w:tc>
        <w:tc>
          <w:tcPr>
            <w:tcW w:w="1082" w:type="dxa"/>
            <w:tcBorders>
              <w:top w:val="single" w:sz="6" w:space="0" w:color="auto"/>
              <w:left w:val="single" w:sz="4" w:space="0" w:color="auto"/>
              <w:bottom w:val="single" w:sz="6" w:space="0" w:color="auto"/>
              <w:right w:val="single" w:sz="6" w:space="0" w:color="auto"/>
            </w:tcBorders>
          </w:tcPr>
          <w:p w14:paraId="52FFF1DE" w14:textId="77777777" w:rsidR="00FE3264" w:rsidRDefault="00FE3264">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3FEEA651" w14:textId="77777777" w:rsidR="00FE3264" w:rsidRDefault="00FE3264">
            <w:pPr>
              <w:numPr>
                <w:ilvl w:val="12"/>
                <w:numId w:val="0"/>
              </w:numPr>
              <w:rPr>
                <w:rFonts w:ascii="Times New Roman" w:hAnsi="Times New Roman" w:cs="Times New Roman"/>
              </w:rPr>
            </w:pPr>
          </w:p>
        </w:tc>
      </w:tr>
      <w:tr w:rsidR="0077352C" w14:paraId="5CD08CDE"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671CF08F" w14:textId="1CBC4671" w:rsidR="0077352C" w:rsidRPr="00533B0A" w:rsidRDefault="0077352C" w:rsidP="00ED7BAD">
            <w:pPr>
              <w:numPr>
                <w:ilvl w:val="0"/>
                <w:numId w:val="14"/>
              </w:numPr>
              <w:rPr>
                <w:rFonts w:ascii="Times New Roman" w:hAnsi="Times New Roman" w:cs="Times New Roman"/>
              </w:rPr>
            </w:pPr>
            <w:r>
              <w:rPr>
                <w:rFonts w:ascii="Times New Roman" w:hAnsi="Times New Roman" w:cs="Times New Roman"/>
              </w:rPr>
              <w:t xml:space="preserve">Examine documentation and verify </w:t>
            </w:r>
            <w:r w:rsidR="005A4A97">
              <w:rPr>
                <w:rFonts w:ascii="Times New Roman" w:hAnsi="Times New Roman" w:cs="Times New Roman"/>
              </w:rPr>
              <w:t xml:space="preserve">that </w:t>
            </w:r>
            <w:r>
              <w:rPr>
                <w:rFonts w:ascii="Times New Roman" w:hAnsi="Times New Roman" w:cs="Times New Roman"/>
              </w:rPr>
              <w:t>the amount of any fees imposed, collected</w:t>
            </w:r>
            <w:r w:rsidR="00280D23">
              <w:rPr>
                <w:rFonts w:ascii="Times New Roman" w:hAnsi="Times New Roman" w:cs="Times New Roman"/>
              </w:rPr>
              <w:t>,</w:t>
            </w:r>
            <w:r>
              <w:rPr>
                <w:rFonts w:ascii="Times New Roman" w:hAnsi="Times New Roman" w:cs="Times New Roman"/>
              </w:rPr>
              <w:t xml:space="preserve"> and retained by an independent financial institution in connection with the use of credit cards or debit cards are properly excluded from taxation pursuant to NRS</w:t>
            </w:r>
            <w:r w:rsidR="005A4A97">
              <w:rPr>
                <w:rFonts w:ascii="Times New Roman" w:hAnsi="Times New Roman" w:cs="Times New Roman"/>
              </w:rPr>
              <w:t xml:space="preserve"> </w:t>
            </w:r>
            <w:r>
              <w:rPr>
                <w:rFonts w:ascii="Times New Roman" w:hAnsi="Times New Roman" w:cs="Times New Roman"/>
              </w:rPr>
              <w:t xml:space="preserve">368A.200(2)(c) and determine that actual amounts were used and not </w:t>
            </w:r>
            <w:r w:rsidRPr="00533B0A">
              <w:rPr>
                <w:rFonts w:ascii="Times New Roman" w:hAnsi="Times New Roman" w:cs="Times New Roman"/>
              </w:rPr>
              <w:t xml:space="preserve">estimates. </w:t>
            </w:r>
            <w:r w:rsidR="008B6A8C">
              <w:rPr>
                <w:rFonts w:ascii="Times New Roman" w:hAnsi="Times New Roman" w:cs="Times New Roman"/>
              </w:rPr>
              <w:t xml:space="preserve"> </w:t>
            </w:r>
            <w:r w:rsidRPr="00533B0A">
              <w:rPr>
                <w:rFonts w:ascii="Times New Roman" w:hAnsi="Times New Roman" w:cs="Times New Roman"/>
                <w:b/>
              </w:rPr>
              <w:t>(Revenue)</w:t>
            </w:r>
          </w:p>
          <w:p w14:paraId="5C459F0D" w14:textId="77777777" w:rsidR="0077352C" w:rsidRDefault="0077352C" w:rsidP="0077352C">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75F38E49" w14:textId="77777777" w:rsidR="0077352C" w:rsidRDefault="0077352C">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1BA67B2F" w14:textId="77777777" w:rsidR="0077352C" w:rsidRDefault="0077352C">
            <w:pPr>
              <w:numPr>
                <w:ilvl w:val="12"/>
                <w:numId w:val="0"/>
              </w:numPr>
              <w:rPr>
                <w:rFonts w:ascii="Times New Roman" w:hAnsi="Times New Roman" w:cs="Times New Roman"/>
              </w:rPr>
            </w:pPr>
          </w:p>
        </w:tc>
      </w:tr>
      <w:tr w:rsidR="0077352C" w14:paraId="54942B6E"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47B915D6" w14:textId="77777777" w:rsidR="0077352C" w:rsidRPr="001154D1" w:rsidRDefault="0077352C" w:rsidP="0077352C">
            <w:pPr>
              <w:numPr>
                <w:ilvl w:val="0"/>
                <w:numId w:val="14"/>
              </w:numPr>
              <w:rPr>
                <w:rFonts w:ascii="Times New Roman" w:hAnsi="Times New Roman" w:cs="Times New Roman"/>
              </w:rPr>
            </w:pPr>
            <w:r w:rsidRPr="00FE131B">
              <w:rPr>
                <w:rFonts w:ascii="Times New Roman" w:hAnsi="Times New Roman" w:cs="Times New Roman"/>
              </w:rPr>
              <w:t xml:space="preserve">Trace the amount(s) verified in </w:t>
            </w:r>
            <w:r w:rsidR="00D9232A">
              <w:rPr>
                <w:rFonts w:ascii="Times New Roman" w:hAnsi="Times New Roman" w:cs="Times New Roman"/>
              </w:rPr>
              <w:t xml:space="preserve">the previous question </w:t>
            </w:r>
            <w:r w:rsidRPr="00FE131B">
              <w:rPr>
                <w:rFonts w:ascii="Times New Roman" w:hAnsi="Times New Roman" w:cs="Times New Roman"/>
              </w:rPr>
              <w:t xml:space="preserve">to the </w:t>
            </w:r>
            <w:r>
              <w:rPr>
                <w:rFonts w:ascii="Times New Roman" w:hAnsi="Times New Roman" w:cs="Times New Roman"/>
              </w:rPr>
              <w:t>monthly</w:t>
            </w:r>
            <w:r w:rsidRPr="00FE131B">
              <w:rPr>
                <w:rFonts w:ascii="Times New Roman" w:hAnsi="Times New Roman" w:cs="Times New Roman"/>
              </w:rPr>
              <w:t xml:space="preserve"> </w:t>
            </w:r>
            <w:r w:rsidR="00250CFF">
              <w:rPr>
                <w:rFonts w:ascii="Times New Roman" w:hAnsi="Times New Roman" w:cs="Times New Roman"/>
              </w:rPr>
              <w:t>entertainment recap report</w:t>
            </w:r>
            <w:r w:rsidRPr="00FE131B">
              <w:rPr>
                <w:rFonts w:ascii="Times New Roman" w:hAnsi="Times New Roman" w:cs="Times New Roman"/>
              </w:rPr>
              <w:t>.</w:t>
            </w:r>
            <w:r w:rsidR="008B6A8C">
              <w:rPr>
                <w:rFonts w:ascii="Times New Roman" w:hAnsi="Times New Roman" w:cs="Times New Roman"/>
              </w:rPr>
              <w:t xml:space="preserve"> </w:t>
            </w:r>
            <w:r w:rsidRPr="00FE131B">
              <w:rPr>
                <w:rFonts w:ascii="Times New Roman" w:hAnsi="Times New Roman" w:cs="Times New Roman"/>
              </w:rPr>
              <w:t xml:space="preserve"> </w:t>
            </w:r>
            <w:r w:rsidRPr="001154D1">
              <w:rPr>
                <w:rFonts w:ascii="Times New Roman" w:hAnsi="Times New Roman" w:cs="Times New Roman"/>
                <w:b/>
              </w:rPr>
              <w:t>(Revenue)</w:t>
            </w:r>
          </w:p>
          <w:p w14:paraId="22878FE1" w14:textId="77777777" w:rsidR="0077352C" w:rsidRDefault="0077352C" w:rsidP="0077352C">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45A77C1C" w14:textId="77777777" w:rsidR="0077352C" w:rsidRDefault="0077352C">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4551220D" w14:textId="77777777" w:rsidR="0077352C" w:rsidRDefault="0077352C">
            <w:pPr>
              <w:numPr>
                <w:ilvl w:val="12"/>
                <w:numId w:val="0"/>
              </w:numPr>
              <w:rPr>
                <w:rFonts w:ascii="Times New Roman" w:hAnsi="Times New Roman" w:cs="Times New Roman"/>
              </w:rPr>
            </w:pPr>
          </w:p>
        </w:tc>
      </w:tr>
      <w:tr w:rsidR="0077352C" w14:paraId="1EAC653D"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53530B94" w14:textId="77777777" w:rsidR="0077352C" w:rsidRDefault="0077352C" w:rsidP="0077352C">
            <w:pPr>
              <w:numPr>
                <w:ilvl w:val="0"/>
                <w:numId w:val="14"/>
              </w:numPr>
              <w:rPr>
                <w:rFonts w:ascii="Times New Roman" w:hAnsi="Times New Roman" w:cs="Times New Roman"/>
              </w:rPr>
            </w:pPr>
            <w:r>
              <w:rPr>
                <w:rFonts w:ascii="Times New Roman" w:hAnsi="Times New Roman" w:cs="Times New Roman"/>
              </w:rPr>
              <w:t xml:space="preserve">Examine </w:t>
            </w:r>
            <w:r w:rsidRPr="00FE131B">
              <w:rPr>
                <w:rFonts w:ascii="Times New Roman" w:hAnsi="Times New Roman" w:cs="Times New Roman"/>
              </w:rPr>
              <w:t xml:space="preserve">documentation </w:t>
            </w:r>
            <w:r>
              <w:rPr>
                <w:rFonts w:ascii="Times New Roman" w:hAnsi="Times New Roman" w:cs="Times New Roman"/>
              </w:rPr>
              <w:t>for admission sales to ticket brokers.  Ver</w:t>
            </w:r>
            <w:r w:rsidRPr="00FE131B">
              <w:rPr>
                <w:rFonts w:ascii="Times New Roman" w:hAnsi="Times New Roman" w:cs="Times New Roman"/>
              </w:rPr>
              <w:t xml:space="preserve">ify </w:t>
            </w:r>
            <w:r w:rsidR="00660EDF">
              <w:rPr>
                <w:rFonts w:ascii="Times New Roman" w:hAnsi="Times New Roman" w:cs="Times New Roman"/>
              </w:rPr>
              <w:t xml:space="preserve">and trace the amount of the admission charges and determine that revenue was properly calculated and reported on the monthly </w:t>
            </w:r>
            <w:r w:rsidR="001B6020">
              <w:rPr>
                <w:rFonts w:ascii="Times New Roman" w:hAnsi="Times New Roman" w:cs="Times New Roman"/>
              </w:rPr>
              <w:t xml:space="preserve">entertainment </w:t>
            </w:r>
            <w:r w:rsidR="00660EDF">
              <w:rPr>
                <w:rFonts w:ascii="Times New Roman" w:hAnsi="Times New Roman" w:cs="Times New Roman"/>
              </w:rPr>
              <w:t>recap report.</w:t>
            </w:r>
            <w:r>
              <w:rPr>
                <w:rFonts w:ascii="Times New Roman" w:hAnsi="Times New Roman" w:cs="Times New Roman"/>
              </w:rPr>
              <w:t xml:space="preserve"> </w:t>
            </w:r>
            <w:r w:rsidR="008B6A8C">
              <w:rPr>
                <w:rFonts w:ascii="Times New Roman" w:hAnsi="Times New Roman" w:cs="Times New Roman"/>
              </w:rPr>
              <w:t xml:space="preserve"> </w:t>
            </w:r>
            <w:r w:rsidRPr="001154D1">
              <w:rPr>
                <w:rFonts w:ascii="Times New Roman" w:hAnsi="Times New Roman" w:cs="Times New Roman"/>
                <w:b/>
              </w:rPr>
              <w:t>(Revenue)</w:t>
            </w:r>
          </w:p>
          <w:p w14:paraId="33F006D5" w14:textId="77777777" w:rsidR="0077352C" w:rsidRPr="00FE131B" w:rsidRDefault="0077352C" w:rsidP="0077352C">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1A42D998" w14:textId="77777777" w:rsidR="0077352C" w:rsidRDefault="0077352C">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11A26940" w14:textId="77777777" w:rsidR="0077352C" w:rsidRDefault="0077352C">
            <w:pPr>
              <w:numPr>
                <w:ilvl w:val="12"/>
                <w:numId w:val="0"/>
              </w:numPr>
              <w:rPr>
                <w:rFonts w:ascii="Times New Roman" w:hAnsi="Times New Roman" w:cs="Times New Roman"/>
              </w:rPr>
            </w:pPr>
          </w:p>
        </w:tc>
      </w:tr>
      <w:tr w:rsidR="0077352C" w14:paraId="778B654C"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56B49659" w14:textId="77777777" w:rsidR="0077352C" w:rsidRDefault="0077352C" w:rsidP="0077352C">
            <w:pPr>
              <w:numPr>
                <w:ilvl w:val="0"/>
                <w:numId w:val="14"/>
              </w:numPr>
              <w:rPr>
                <w:rFonts w:ascii="Times New Roman" w:hAnsi="Times New Roman" w:cs="Times New Roman"/>
              </w:rPr>
            </w:pPr>
            <w:r>
              <w:rPr>
                <w:rFonts w:ascii="Times New Roman" w:hAnsi="Times New Roman" w:cs="Times New Roman"/>
              </w:rPr>
              <w:t>Select one event by a nonprofit organization which was exempt from taxation and obtain the associated documentation.  Examine the documentation and determine that:</w:t>
            </w:r>
          </w:p>
          <w:p w14:paraId="68F8AF38" w14:textId="77777777" w:rsidR="001B6020" w:rsidRDefault="001B6020" w:rsidP="00514017">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shd w:val="clear" w:color="auto" w:fill="D9D9D9"/>
          </w:tcPr>
          <w:p w14:paraId="2766DDD9" w14:textId="77777777" w:rsidR="0077352C" w:rsidRDefault="0077352C">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clear" w:color="auto" w:fill="D9D9D9"/>
          </w:tcPr>
          <w:p w14:paraId="305993E4" w14:textId="77777777" w:rsidR="0077352C" w:rsidRDefault="0077352C">
            <w:pPr>
              <w:numPr>
                <w:ilvl w:val="12"/>
                <w:numId w:val="0"/>
              </w:numPr>
              <w:rPr>
                <w:rFonts w:ascii="Times New Roman" w:hAnsi="Times New Roman" w:cs="Times New Roman"/>
              </w:rPr>
            </w:pPr>
          </w:p>
        </w:tc>
      </w:tr>
      <w:tr w:rsidR="0077352C" w14:paraId="7F124F77"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39B9FBC9" w14:textId="77777777" w:rsidR="0077352C" w:rsidRDefault="0077352C" w:rsidP="00360927">
            <w:pPr>
              <w:numPr>
                <w:ilvl w:val="1"/>
                <w:numId w:val="17"/>
              </w:numPr>
              <w:tabs>
                <w:tab w:val="clear" w:pos="720"/>
                <w:tab w:val="num" w:pos="674"/>
              </w:tabs>
              <w:ind w:left="674" w:hanging="270"/>
              <w:rPr>
                <w:rFonts w:ascii="Times New Roman" w:hAnsi="Times New Roman" w:cs="Times New Roman"/>
              </w:rPr>
            </w:pPr>
            <w:r>
              <w:rPr>
                <w:rFonts w:ascii="Times New Roman" w:hAnsi="Times New Roman" w:cs="Times New Roman"/>
              </w:rPr>
              <w:t>The nonprofit organization has qualified as a tax-exempt or religious organization pursuant to 26 U.S.C.</w:t>
            </w:r>
            <w:r w:rsidR="007830EF">
              <w:rPr>
                <w:rFonts w:ascii="Times New Roman" w:hAnsi="Times New Roman" w:cs="Times New Roman"/>
              </w:rPr>
              <w:t xml:space="preserve"> </w:t>
            </w:r>
            <w:r>
              <w:rPr>
                <w:rFonts w:ascii="Times New Roman" w:hAnsi="Times New Roman" w:cs="Times New Roman"/>
              </w:rPr>
              <w:t>§</w:t>
            </w:r>
            <w:r w:rsidR="005A4A97">
              <w:rPr>
                <w:rFonts w:ascii="Times New Roman" w:hAnsi="Times New Roman" w:cs="Times New Roman"/>
              </w:rPr>
              <w:t xml:space="preserve"> </w:t>
            </w:r>
            <w:r>
              <w:rPr>
                <w:rFonts w:ascii="Times New Roman" w:hAnsi="Times New Roman" w:cs="Times New Roman"/>
              </w:rPr>
              <w:t xml:space="preserve">501(c). </w:t>
            </w:r>
            <w:r w:rsidR="008B6A8C">
              <w:rPr>
                <w:rFonts w:ascii="Times New Roman" w:hAnsi="Times New Roman" w:cs="Times New Roman"/>
              </w:rPr>
              <w:t xml:space="preserve"> </w:t>
            </w:r>
            <w:r w:rsidRPr="00D01C06">
              <w:rPr>
                <w:rFonts w:ascii="Times New Roman" w:hAnsi="Times New Roman" w:cs="Times New Roman"/>
                <w:b/>
              </w:rPr>
              <w:t>(Revenue)</w:t>
            </w:r>
          </w:p>
          <w:p w14:paraId="2EFD2C81" w14:textId="77777777" w:rsidR="0077352C" w:rsidRDefault="0077352C" w:rsidP="00360927">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41A12C93" w14:textId="77777777" w:rsidR="0077352C" w:rsidRDefault="0077352C">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5F37E9D4" w14:textId="77777777" w:rsidR="0077352C" w:rsidRDefault="0077352C">
            <w:pPr>
              <w:numPr>
                <w:ilvl w:val="12"/>
                <w:numId w:val="0"/>
              </w:numPr>
              <w:rPr>
                <w:rFonts w:ascii="Times New Roman" w:hAnsi="Times New Roman" w:cs="Times New Roman"/>
              </w:rPr>
            </w:pPr>
          </w:p>
        </w:tc>
      </w:tr>
      <w:tr w:rsidR="0077352C" w14:paraId="6C70D757"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7C7F862E" w14:textId="7DE72E6B" w:rsidR="0077352C" w:rsidRDefault="0077352C" w:rsidP="00360927">
            <w:pPr>
              <w:numPr>
                <w:ilvl w:val="1"/>
                <w:numId w:val="17"/>
              </w:numPr>
              <w:tabs>
                <w:tab w:val="clear" w:pos="720"/>
                <w:tab w:val="num" w:pos="674"/>
              </w:tabs>
              <w:ind w:left="674" w:hanging="270"/>
              <w:rPr>
                <w:rFonts w:ascii="Times New Roman" w:hAnsi="Times New Roman" w:cs="Times New Roman"/>
              </w:rPr>
            </w:pPr>
            <w:r>
              <w:rPr>
                <w:rFonts w:ascii="Times New Roman" w:hAnsi="Times New Roman" w:cs="Times New Roman"/>
              </w:rPr>
              <w:t>The licensee has adequate documentation to support the number of tickets offered for sale or other distribution to patrons, either directly or indirectly through a partner, subsidiary, client affiliate</w:t>
            </w:r>
            <w:r w:rsidR="00280D23">
              <w:rPr>
                <w:rFonts w:ascii="Times New Roman" w:hAnsi="Times New Roman" w:cs="Times New Roman"/>
              </w:rPr>
              <w:t>,</w:t>
            </w:r>
            <w:r>
              <w:rPr>
                <w:rFonts w:ascii="Times New Roman" w:hAnsi="Times New Roman" w:cs="Times New Roman"/>
              </w:rPr>
              <w:t xml:space="preserve"> or other collaborator is less than 7,500.  </w:t>
            </w:r>
            <w:r>
              <w:rPr>
                <w:rFonts w:ascii="Times New Roman" w:hAnsi="Times New Roman" w:cs="Times New Roman"/>
                <w:b/>
              </w:rPr>
              <w:t>(Revenue)</w:t>
            </w:r>
          </w:p>
          <w:p w14:paraId="434B9FF3" w14:textId="77777777" w:rsidR="0077352C" w:rsidRDefault="0077352C" w:rsidP="00360927">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47441640" w14:textId="77777777" w:rsidR="0077352C" w:rsidRDefault="0077352C">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1A168173" w14:textId="77777777" w:rsidR="0077352C" w:rsidRDefault="0077352C">
            <w:pPr>
              <w:numPr>
                <w:ilvl w:val="12"/>
                <w:numId w:val="0"/>
              </w:numPr>
              <w:rPr>
                <w:rFonts w:ascii="Times New Roman" w:hAnsi="Times New Roman" w:cs="Times New Roman"/>
              </w:rPr>
            </w:pPr>
          </w:p>
        </w:tc>
      </w:tr>
      <w:tr w:rsidR="0077352C" w14:paraId="4EAE17BD"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40021825" w14:textId="77777777" w:rsidR="0077352C" w:rsidRDefault="0077352C" w:rsidP="00360927">
            <w:pPr>
              <w:numPr>
                <w:ilvl w:val="1"/>
                <w:numId w:val="17"/>
              </w:numPr>
              <w:tabs>
                <w:tab w:val="clear" w:pos="720"/>
                <w:tab w:val="num" w:pos="674"/>
              </w:tabs>
              <w:ind w:left="674" w:hanging="270"/>
              <w:rPr>
                <w:rFonts w:ascii="Times New Roman" w:hAnsi="Times New Roman" w:cs="Times New Roman"/>
              </w:rPr>
            </w:pPr>
            <w:r>
              <w:rPr>
                <w:rFonts w:ascii="Times New Roman" w:hAnsi="Times New Roman" w:cs="Times New Roman"/>
              </w:rPr>
              <w:t xml:space="preserve">The proceeds of the admission charges became the property of the nonprofit organization.  </w:t>
            </w:r>
            <w:r>
              <w:rPr>
                <w:rFonts w:ascii="Times New Roman" w:hAnsi="Times New Roman" w:cs="Times New Roman"/>
                <w:b/>
              </w:rPr>
              <w:t>(Revenue)</w:t>
            </w:r>
          </w:p>
          <w:p w14:paraId="2B6520E1" w14:textId="77777777" w:rsidR="0077352C" w:rsidRDefault="0077352C" w:rsidP="00360927">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61AB1E9E" w14:textId="77777777" w:rsidR="0077352C" w:rsidRDefault="0077352C">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7CC28D27" w14:textId="77777777" w:rsidR="0077352C" w:rsidRDefault="0077352C">
            <w:pPr>
              <w:numPr>
                <w:ilvl w:val="12"/>
                <w:numId w:val="0"/>
              </w:numPr>
              <w:rPr>
                <w:rFonts w:ascii="Times New Roman" w:hAnsi="Times New Roman" w:cs="Times New Roman"/>
              </w:rPr>
            </w:pPr>
          </w:p>
        </w:tc>
      </w:tr>
      <w:tr w:rsidR="0077352C" w14:paraId="00CA0501"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07D19032" w14:textId="77777777" w:rsidR="0077352C" w:rsidRDefault="0077352C" w:rsidP="00360927">
            <w:pPr>
              <w:numPr>
                <w:ilvl w:val="1"/>
                <w:numId w:val="17"/>
              </w:numPr>
              <w:tabs>
                <w:tab w:val="clear" w:pos="720"/>
                <w:tab w:val="num" w:pos="674"/>
              </w:tabs>
              <w:ind w:left="674" w:hanging="270"/>
              <w:rPr>
                <w:rFonts w:ascii="Times New Roman" w:hAnsi="Times New Roman" w:cs="Times New Roman"/>
              </w:rPr>
            </w:pPr>
            <w:r>
              <w:rPr>
                <w:rFonts w:ascii="Times New Roman" w:hAnsi="Times New Roman" w:cs="Times New Roman"/>
              </w:rPr>
              <w:lastRenderedPageBreak/>
              <w:t>For admission charges which do not</w:t>
            </w:r>
            <w:r w:rsidR="001B6020">
              <w:rPr>
                <w:rFonts w:ascii="Times New Roman" w:hAnsi="Times New Roman" w:cs="Times New Roman"/>
              </w:rPr>
              <w:t xml:space="preserve"> become the property of the non</w:t>
            </w:r>
            <w:r>
              <w:rPr>
                <w:rFonts w:ascii="Times New Roman" w:hAnsi="Times New Roman" w:cs="Times New Roman"/>
              </w:rPr>
              <w:t>profit organization</w:t>
            </w:r>
            <w:r w:rsidR="001B6020">
              <w:rPr>
                <w:rFonts w:ascii="Times New Roman" w:hAnsi="Times New Roman" w:cs="Times New Roman"/>
              </w:rPr>
              <w:t>, verify</w:t>
            </w:r>
            <w:r>
              <w:rPr>
                <w:rFonts w:ascii="Times New Roman" w:hAnsi="Times New Roman" w:cs="Times New Roman"/>
              </w:rPr>
              <w:t xml:space="preserve"> that these amounts represent proceeds necessary to cover the direct, supportable costs of hosting, promoting or sponsoring the event.  </w:t>
            </w:r>
            <w:r>
              <w:rPr>
                <w:rFonts w:ascii="Times New Roman" w:hAnsi="Times New Roman" w:cs="Times New Roman"/>
                <w:b/>
              </w:rPr>
              <w:t>(Revenue)</w:t>
            </w:r>
          </w:p>
          <w:p w14:paraId="0D957C2C" w14:textId="77777777" w:rsidR="0077352C" w:rsidRDefault="0077352C" w:rsidP="00360927">
            <w:pPr>
              <w:ind w:left="360"/>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3AC96BB1" w14:textId="77777777" w:rsidR="0077352C" w:rsidRDefault="0077352C">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5C35389F" w14:textId="77777777" w:rsidR="0077352C" w:rsidRDefault="0077352C">
            <w:pPr>
              <w:numPr>
                <w:ilvl w:val="12"/>
                <w:numId w:val="0"/>
              </w:numPr>
              <w:rPr>
                <w:rFonts w:ascii="Times New Roman" w:hAnsi="Times New Roman" w:cs="Times New Roman"/>
              </w:rPr>
            </w:pPr>
          </w:p>
        </w:tc>
      </w:tr>
      <w:tr w:rsidR="00E350E4" w14:paraId="020F6E99"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612EB7A6" w14:textId="77777777" w:rsidR="00360927" w:rsidRDefault="00360927" w:rsidP="00514017">
            <w:pPr>
              <w:ind w:left="404" w:hanging="404"/>
              <w:rPr>
                <w:rFonts w:ascii="Times New Roman" w:hAnsi="Times New Roman" w:cs="Times New Roman"/>
                <w:b/>
              </w:rPr>
            </w:pPr>
            <w:r>
              <w:rPr>
                <w:rFonts w:ascii="Times New Roman" w:hAnsi="Times New Roman" w:cs="Times New Roman"/>
              </w:rPr>
              <w:t>1</w:t>
            </w:r>
            <w:r w:rsidR="00ED7BAD">
              <w:rPr>
                <w:rFonts w:ascii="Times New Roman" w:hAnsi="Times New Roman" w:cs="Times New Roman"/>
              </w:rPr>
              <w:t>8</w:t>
            </w:r>
            <w:r>
              <w:rPr>
                <w:rFonts w:ascii="Times New Roman" w:hAnsi="Times New Roman" w:cs="Times New Roman"/>
              </w:rPr>
              <w:t xml:space="preserve">.   </w:t>
            </w:r>
            <w:r w:rsidR="00E350E4" w:rsidRPr="00E350E4">
              <w:rPr>
                <w:rFonts w:ascii="Times New Roman" w:hAnsi="Times New Roman" w:cs="Times New Roman"/>
              </w:rPr>
              <w:t>Foot</w:t>
            </w:r>
            <w:r>
              <w:rPr>
                <w:rFonts w:ascii="Times New Roman" w:hAnsi="Times New Roman" w:cs="Times New Roman"/>
              </w:rPr>
              <w:t xml:space="preserve"> and cross-foot</w:t>
            </w:r>
            <w:r w:rsidR="00E350E4" w:rsidRPr="00E350E4">
              <w:rPr>
                <w:rFonts w:ascii="Times New Roman" w:hAnsi="Times New Roman" w:cs="Times New Roman"/>
              </w:rPr>
              <w:t xml:space="preserve"> the monthly entertainment recap report</w:t>
            </w:r>
            <w:r>
              <w:rPr>
                <w:rFonts w:ascii="Times New Roman" w:hAnsi="Times New Roman" w:cs="Times New Roman"/>
              </w:rPr>
              <w:t>.</w:t>
            </w:r>
            <w:r w:rsidR="008B6A8C">
              <w:rPr>
                <w:rFonts w:ascii="Times New Roman" w:hAnsi="Times New Roman" w:cs="Times New Roman"/>
              </w:rPr>
              <w:t xml:space="preserve"> </w:t>
            </w:r>
            <w:r w:rsidR="00E350E4" w:rsidRPr="00E350E4">
              <w:rPr>
                <w:rFonts w:ascii="Times New Roman" w:hAnsi="Times New Roman" w:cs="Times New Roman"/>
              </w:rPr>
              <w:t xml:space="preserve"> </w:t>
            </w:r>
            <w:r w:rsidR="00E350E4" w:rsidRPr="00E350E4">
              <w:rPr>
                <w:rFonts w:ascii="Times New Roman" w:hAnsi="Times New Roman" w:cs="Times New Roman"/>
                <w:b/>
              </w:rPr>
              <w:t>(Revenue)</w:t>
            </w:r>
          </w:p>
          <w:p w14:paraId="584855AA" w14:textId="77777777" w:rsidR="00360927" w:rsidRPr="00360927" w:rsidRDefault="00360927" w:rsidP="00360927">
            <w:pPr>
              <w:rPr>
                <w:rFonts w:ascii="Times New Roman" w:hAnsi="Times New Roman" w:cs="Times New Roman"/>
                <w:b/>
              </w:rPr>
            </w:pPr>
          </w:p>
        </w:tc>
        <w:tc>
          <w:tcPr>
            <w:tcW w:w="1082" w:type="dxa"/>
            <w:tcBorders>
              <w:top w:val="single" w:sz="6" w:space="0" w:color="auto"/>
              <w:left w:val="single" w:sz="4" w:space="0" w:color="auto"/>
              <w:bottom w:val="single" w:sz="6" w:space="0" w:color="auto"/>
              <w:right w:val="single" w:sz="6" w:space="0" w:color="auto"/>
            </w:tcBorders>
          </w:tcPr>
          <w:p w14:paraId="6A0B3173" w14:textId="77777777" w:rsidR="00E350E4" w:rsidRDefault="00E350E4">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4A74E8AF" w14:textId="77777777" w:rsidR="00E350E4" w:rsidRDefault="00E350E4">
            <w:pPr>
              <w:numPr>
                <w:ilvl w:val="12"/>
                <w:numId w:val="0"/>
              </w:numPr>
              <w:rPr>
                <w:rFonts w:ascii="Times New Roman" w:hAnsi="Times New Roman" w:cs="Times New Roman"/>
              </w:rPr>
            </w:pPr>
          </w:p>
        </w:tc>
      </w:tr>
      <w:tr w:rsidR="0078174D" w14:paraId="3D7552C5"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2512A213" w14:textId="77777777" w:rsidR="0078174D" w:rsidRDefault="0078174D" w:rsidP="0078174D">
            <w:pPr>
              <w:pStyle w:val="Default"/>
              <w:ind w:left="404" w:hanging="404"/>
              <w:rPr>
                <w:sz w:val="20"/>
                <w:szCs w:val="20"/>
              </w:rPr>
            </w:pPr>
            <w:r>
              <w:rPr>
                <w:sz w:val="20"/>
                <w:szCs w:val="20"/>
              </w:rPr>
              <w:t>1</w:t>
            </w:r>
            <w:r w:rsidR="00ED7BAD">
              <w:rPr>
                <w:sz w:val="20"/>
                <w:szCs w:val="20"/>
              </w:rPr>
              <w:t>9</w:t>
            </w:r>
            <w:r>
              <w:rPr>
                <w:sz w:val="20"/>
                <w:szCs w:val="20"/>
              </w:rPr>
              <w:t>.   Reconcile cashier’s bank to documentation used for admission charges.</w:t>
            </w:r>
            <w:r w:rsidR="008B6A8C">
              <w:rPr>
                <w:sz w:val="20"/>
                <w:szCs w:val="20"/>
              </w:rPr>
              <w:t xml:space="preserve"> </w:t>
            </w:r>
            <w:r>
              <w:rPr>
                <w:sz w:val="20"/>
                <w:szCs w:val="20"/>
              </w:rPr>
              <w:t xml:space="preserve"> </w:t>
            </w:r>
            <w:r>
              <w:rPr>
                <w:b/>
                <w:bCs/>
                <w:sz w:val="20"/>
                <w:szCs w:val="20"/>
              </w:rPr>
              <w:t xml:space="preserve">(Asset Protection) </w:t>
            </w:r>
          </w:p>
          <w:p w14:paraId="56E0791D" w14:textId="77777777" w:rsidR="0078174D" w:rsidRDefault="0078174D" w:rsidP="00360927">
            <w:pPr>
              <w:ind w:left="404" w:hanging="404"/>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7C931F94" w14:textId="77777777" w:rsidR="0078174D" w:rsidRDefault="0078174D">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332F6CFF" w14:textId="77777777" w:rsidR="0078174D" w:rsidRDefault="0078174D">
            <w:pPr>
              <w:numPr>
                <w:ilvl w:val="12"/>
                <w:numId w:val="0"/>
              </w:numPr>
              <w:rPr>
                <w:rFonts w:ascii="Times New Roman" w:hAnsi="Times New Roman" w:cs="Times New Roman"/>
              </w:rPr>
            </w:pPr>
          </w:p>
        </w:tc>
      </w:tr>
      <w:tr w:rsidR="006A1C82" w14:paraId="02C04F41"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58F52B21" w14:textId="77777777" w:rsidR="006A1C82" w:rsidRPr="00FF458D" w:rsidRDefault="00EB1F3C" w:rsidP="00ED7BAD">
            <w:pPr>
              <w:numPr>
                <w:ilvl w:val="0"/>
                <w:numId w:val="19"/>
              </w:numPr>
              <w:rPr>
                <w:rFonts w:ascii="Times New Roman" w:hAnsi="Times New Roman" w:cs="Times New Roman"/>
              </w:rPr>
            </w:pPr>
            <w:r>
              <w:rPr>
                <w:rFonts w:ascii="Times New Roman" w:hAnsi="Times New Roman" w:cs="Times New Roman"/>
              </w:rPr>
              <w:t xml:space="preserve">Examine each cashiers’ cash turn-in sheet to ensure that they are signed by at least two people.  </w:t>
            </w:r>
            <w:r w:rsidRPr="00EB1F3C">
              <w:rPr>
                <w:rFonts w:ascii="Times New Roman" w:hAnsi="Times New Roman" w:cs="Times New Roman"/>
                <w:b/>
              </w:rPr>
              <w:t>(Asset</w:t>
            </w:r>
            <w:r w:rsidR="00F255C1">
              <w:rPr>
                <w:rFonts w:ascii="Times New Roman" w:hAnsi="Times New Roman" w:cs="Times New Roman"/>
                <w:b/>
              </w:rPr>
              <w:t xml:space="preserve"> Protection</w:t>
            </w:r>
            <w:r w:rsidRPr="00EB1F3C">
              <w:rPr>
                <w:rFonts w:ascii="Times New Roman" w:hAnsi="Times New Roman" w:cs="Times New Roman"/>
                <w:b/>
              </w:rPr>
              <w:t>)</w:t>
            </w:r>
          </w:p>
          <w:p w14:paraId="5084697A" w14:textId="77777777" w:rsidR="00EB1F3C" w:rsidRDefault="00EB1F3C" w:rsidP="00FF458D">
            <w:pPr>
              <w:ind w:left="360"/>
              <w:rPr>
                <w:rFonts w:ascii="Times New Roman" w:hAnsi="Times New Roman" w:cs="Times New Roman"/>
              </w:rPr>
            </w:pPr>
          </w:p>
          <w:p w14:paraId="02CF5B05" w14:textId="77777777" w:rsidR="00F255C1" w:rsidRDefault="00F255C1" w:rsidP="00F255C1">
            <w:pPr>
              <w:rPr>
                <w:rFonts w:ascii="Times New Roman" w:hAnsi="Times New Roman" w:cs="Times New Roman"/>
              </w:rPr>
            </w:pPr>
            <w:r w:rsidRPr="00F255C1">
              <w:rPr>
                <w:rFonts w:ascii="Times New Roman" w:hAnsi="Times New Roman" w:cs="Times New Roman"/>
                <w:b/>
              </w:rPr>
              <w:t>Note:</w:t>
            </w:r>
            <w:r w:rsidRPr="00F255C1">
              <w:rPr>
                <w:rFonts w:ascii="Times New Roman" w:hAnsi="Times New Roman" w:cs="Times New Roman"/>
              </w:rPr>
              <w:t xml:space="preserve"> </w:t>
            </w:r>
            <w:r w:rsidR="00353485">
              <w:rPr>
                <w:rFonts w:ascii="Times New Roman" w:hAnsi="Times New Roman" w:cs="Times New Roman"/>
              </w:rPr>
              <w:t xml:space="preserve"> </w:t>
            </w:r>
            <w:r w:rsidRPr="00F255C1">
              <w:rPr>
                <w:rFonts w:ascii="Times New Roman" w:hAnsi="Times New Roman" w:cs="Times New Roman"/>
              </w:rPr>
              <w:t>Using a counter and depository unit as the second verification and signature for each cashier cash proceeds is acceptable in meeting the intent of this standard if the counter and depository unit counts and stores the cashier cash proceeds, prints a receipt, and all proceeds are counted and verified in total by the count team.</w:t>
            </w:r>
          </w:p>
          <w:p w14:paraId="67E37F4B" w14:textId="77777777" w:rsidR="00F255C1" w:rsidRPr="00D01C06" w:rsidRDefault="00F255C1" w:rsidP="00F255C1">
            <w:pPr>
              <w:rPr>
                <w:rFonts w:ascii="Times New Roman" w:hAnsi="Times New Roman" w:cs="Times New Roman"/>
              </w:rPr>
            </w:pPr>
          </w:p>
        </w:tc>
        <w:tc>
          <w:tcPr>
            <w:tcW w:w="1082" w:type="dxa"/>
            <w:tcBorders>
              <w:top w:val="single" w:sz="6" w:space="0" w:color="auto"/>
              <w:left w:val="single" w:sz="4" w:space="0" w:color="auto"/>
              <w:bottom w:val="single" w:sz="6" w:space="0" w:color="auto"/>
              <w:right w:val="single" w:sz="6" w:space="0" w:color="auto"/>
            </w:tcBorders>
          </w:tcPr>
          <w:p w14:paraId="1D974E19" w14:textId="77777777" w:rsidR="006A1C82" w:rsidRDefault="006A1C82">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509BC423" w14:textId="77777777" w:rsidR="006A1C82" w:rsidRDefault="006A1C82">
            <w:pPr>
              <w:numPr>
                <w:ilvl w:val="12"/>
                <w:numId w:val="0"/>
              </w:numPr>
              <w:rPr>
                <w:rFonts w:ascii="Times New Roman" w:hAnsi="Times New Roman" w:cs="Times New Roman"/>
              </w:rPr>
            </w:pPr>
          </w:p>
        </w:tc>
      </w:tr>
      <w:tr w:rsidR="004E5BED" w14:paraId="2ADD36B2"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26AD309B" w14:textId="04B7FCA8" w:rsidR="004E5BED" w:rsidRDefault="004E5BED" w:rsidP="00B7399E">
            <w:pPr>
              <w:pStyle w:val="Default"/>
              <w:ind w:left="314" w:hanging="314"/>
              <w:rPr>
                <w:b/>
                <w:bCs/>
                <w:sz w:val="20"/>
                <w:szCs w:val="20"/>
              </w:rPr>
            </w:pPr>
            <w:r>
              <w:rPr>
                <w:sz w:val="20"/>
                <w:szCs w:val="20"/>
              </w:rPr>
              <w:t>2</w:t>
            </w:r>
            <w:r w:rsidR="00ED7BAD">
              <w:rPr>
                <w:sz w:val="20"/>
                <w:szCs w:val="20"/>
              </w:rPr>
              <w:t>1.</w:t>
            </w:r>
            <w:r w:rsidR="00EC7182">
              <w:rPr>
                <w:sz w:val="20"/>
                <w:szCs w:val="20"/>
              </w:rPr>
              <w:t xml:space="preserve"> </w:t>
            </w:r>
            <w:r>
              <w:rPr>
                <w:sz w:val="20"/>
                <w:szCs w:val="20"/>
              </w:rPr>
              <w:t>Using the monthly entertainment recap report, determine that all admission charges are properly calculated</w:t>
            </w:r>
            <w:r w:rsidR="00743901">
              <w:rPr>
                <w:sz w:val="20"/>
                <w:szCs w:val="20"/>
              </w:rPr>
              <w:t>.</w:t>
            </w:r>
            <w:r w:rsidR="00353485">
              <w:rPr>
                <w:sz w:val="20"/>
                <w:szCs w:val="20"/>
              </w:rPr>
              <w:t xml:space="preserve">  </w:t>
            </w:r>
            <w:r>
              <w:rPr>
                <w:b/>
                <w:bCs/>
                <w:sz w:val="20"/>
                <w:szCs w:val="20"/>
              </w:rPr>
              <w:t xml:space="preserve">(Revenue) </w:t>
            </w:r>
          </w:p>
          <w:p w14:paraId="5D2E626E" w14:textId="77777777" w:rsidR="004E5BED" w:rsidRDefault="004E5BED" w:rsidP="004E5BED">
            <w:pPr>
              <w:pStyle w:val="Default"/>
              <w:ind w:left="404" w:hanging="404"/>
              <w:rPr>
                <w:b/>
                <w:bCs/>
                <w:sz w:val="20"/>
                <w:szCs w:val="20"/>
              </w:rPr>
            </w:pPr>
          </w:p>
          <w:p w14:paraId="578308AD" w14:textId="77777777" w:rsidR="004E5BED" w:rsidRDefault="004E5BED" w:rsidP="005C6CF9">
            <w:pPr>
              <w:numPr>
                <w:ilvl w:val="12"/>
                <w:numId w:val="0"/>
              </w:numPr>
              <w:ind w:left="44" w:hanging="13"/>
              <w:rPr>
                <w:rFonts w:ascii="Times New Roman" w:hAnsi="Times New Roman" w:cs="Times New Roman"/>
              </w:rPr>
            </w:pPr>
            <w:r>
              <w:rPr>
                <w:rFonts w:ascii="Times New Roman" w:hAnsi="Times New Roman" w:cs="Times New Roman"/>
                <w:b/>
              </w:rPr>
              <w:t xml:space="preserve">Note 1:  </w:t>
            </w:r>
            <w:r>
              <w:rPr>
                <w:rFonts w:ascii="Times New Roman" w:hAnsi="Times New Roman" w:cs="Times New Roman"/>
              </w:rPr>
              <w:t xml:space="preserve">If the gaming establishment “comps” show tickets to shows at affiliated properties, the licensee should treat these “comps” in the same manner as in-house </w:t>
            </w:r>
            <w:proofErr w:type="spellStart"/>
            <w:r>
              <w:rPr>
                <w:rFonts w:ascii="Times New Roman" w:hAnsi="Times New Roman" w:cs="Times New Roman"/>
              </w:rPr>
              <w:t>complimentaries</w:t>
            </w:r>
            <w:proofErr w:type="spellEnd"/>
            <w:r>
              <w:rPr>
                <w:rFonts w:ascii="Times New Roman" w:hAnsi="Times New Roman" w:cs="Times New Roman"/>
              </w:rPr>
              <w:t xml:space="preserve"> as long as supporting documentation is maintained pursuant to </w:t>
            </w:r>
            <w:r w:rsidRPr="00FF458D">
              <w:rPr>
                <w:rFonts w:ascii="Times New Roman" w:hAnsi="Times New Roman" w:cs="Times New Roman"/>
                <w:bCs/>
              </w:rPr>
              <w:t>Entertainment MICS #</w:t>
            </w:r>
            <w:r w:rsidRPr="00FF458D">
              <w:rPr>
                <w:rFonts w:ascii="Times New Roman" w:hAnsi="Times New Roman" w:cs="Times New Roman"/>
              </w:rPr>
              <w:t>5</w:t>
            </w:r>
            <w:r w:rsidRPr="00AC192A">
              <w:rPr>
                <w:rFonts w:ascii="Times New Roman" w:hAnsi="Times New Roman" w:cs="Times New Roman"/>
              </w:rPr>
              <w:t>.</w:t>
            </w:r>
          </w:p>
          <w:p w14:paraId="58F0B235" w14:textId="77777777" w:rsidR="004E5BED" w:rsidRDefault="004E5BED" w:rsidP="004E5BED">
            <w:pPr>
              <w:numPr>
                <w:ilvl w:val="12"/>
                <w:numId w:val="0"/>
              </w:numPr>
              <w:ind w:hanging="13"/>
              <w:rPr>
                <w:rFonts w:ascii="Times New Roman" w:hAnsi="Times New Roman" w:cs="Times New Roman"/>
              </w:rPr>
            </w:pPr>
          </w:p>
          <w:p w14:paraId="24F18188" w14:textId="77777777" w:rsidR="004E5BED" w:rsidRPr="00250CFF" w:rsidRDefault="004E5BED" w:rsidP="00EC7182">
            <w:pPr>
              <w:pStyle w:val="Default"/>
              <w:ind w:left="44"/>
              <w:rPr>
                <w:sz w:val="16"/>
                <w:szCs w:val="20"/>
              </w:rPr>
            </w:pPr>
            <w:r w:rsidRPr="00250CFF">
              <w:rPr>
                <w:b/>
                <w:sz w:val="20"/>
              </w:rPr>
              <w:t xml:space="preserve">Note 2:  </w:t>
            </w:r>
            <w:r w:rsidRPr="00250CFF">
              <w:rPr>
                <w:sz w:val="20"/>
              </w:rPr>
              <w:t xml:space="preserve">If the gaming establishment has third party lessees that provide entertainment </w:t>
            </w:r>
            <w:proofErr w:type="spellStart"/>
            <w:r w:rsidRPr="00250CFF">
              <w:rPr>
                <w:sz w:val="20"/>
              </w:rPr>
              <w:t>complimentaries</w:t>
            </w:r>
            <w:proofErr w:type="spellEnd"/>
            <w:r w:rsidRPr="00250CFF">
              <w:rPr>
                <w:sz w:val="20"/>
              </w:rPr>
              <w:t xml:space="preserve"> to patrons where the licensee reimburses the lessee for the entire amount of the complimentary, or any portion thereof, the amount of the reimbursement must be included in taxable revenue.</w:t>
            </w:r>
          </w:p>
          <w:p w14:paraId="600315EC" w14:textId="77777777" w:rsidR="004E5BED" w:rsidRDefault="004E5BED" w:rsidP="000B551D">
            <w:pPr>
              <w:pStyle w:val="List"/>
            </w:pPr>
          </w:p>
        </w:tc>
        <w:tc>
          <w:tcPr>
            <w:tcW w:w="1082" w:type="dxa"/>
            <w:tcBorders>
              <w:top w:val="single" w:sz="6" w:space="0" w:color="auto"/>
              <w:left w:val="single" w:sz="4" w:space="0" w:color="auto"/>
              <w:bottom w:val="single" w:sz="6" w:space="0" w:color="auto"/>
              <w:right w:val="single" w:sz="6" w:space="0" w:color="auto"/>
            </w:tcBorders>
          </w:tcPr>
          <w:p w14:paraId="716CDE91" w14:textId="77777777" w:rsidR="004E5BED" w:rsidRDefault="004E5BED">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78A346BA" w14:textId="77777777" w:rsidR="004E5BED" w:rsidRDefault="004E5BED">
            <w:pPr>
              <w:numPr>
                <w:ilvl w:val="12"/>
                <w:numId w:val="0"/>
              </w:numPr>
              <w:rPr>
                <w:rFonts w:ascii="Times New Roman" w:hAnsi="Times New Roman" w:cs="Times New Roman"/>
              </w:rPr>
            </w:pPr>
          </w:p>
        </w:tc>
      </w:tr>
      <w:tr w:rsidR="000B551D" w14:paraId="1F86B57F"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03881E83" w14:textId="77777777" w:rsidR="000B551D" w:rsidRDefault="000B551D" w:rsidP="00514017">
            <w:pPr>
              <w:pStyle w:val="List"/>
              <w:rPr>
                <w:b/>
              </w:rPr>
            </w:pPr>
            <w:r>
              <w:lastRenderedPageBreak/>
              <w:t>2</w:t>
            </w:r>
            <w:r w:rsidR="00ED7BAD">
              <w:t>2</w:t>
            </w:r>
            <w:r>
              <w:t xml:space="preserve">.  </w:t>
            </w:r>
            <w:r w:rsidR="005A4A97">
              <w:t>Using the monthly entertainment recap report, e</w:t>
            </w:r>
            <w:r w:rsidR="001B6020">
              <w:t>xamine documentation</w:t>
            </w:r>
            <w:r w:rsidR="005A4A97">
              <w:t xml:space="preserve"> and </w:t>
            </w:r>
            <w:r w:rsidR="001B6020">
              <w:t xml:space="preserve">determine </w:t>
            </w:r>
            <w:r w:rsidR="005A4A97">
              <w:t xml:space="preserve">if adequate </w:t>
            </w:r>
            <w:r>
              <w:t xml:space="preserve">records </w:t>
            </w:r>
            <w:r w:rsidR="001B6020">
              <w:t xml:space="preserve">were </w:t>
            </w:r>
            <w:r>
              <w:t xml:space="preserve">maintained to </w:t>
            </w:r>
            <w:r w:rsidR="005A4A97">
              <w:t xml:space="preserve">properly </w:t>
            </w:r>
            <w:r w:rsidR="001B6020">
              <w:t>support th</w:t>
            </w:r>
            <w:r w:rsidR="005A4A97">
              <w:t>e</w:t>
            </w:r>
            <w:r>
              <w:t xml:space="preserve"> deductions</w:t>
            </w:r>
            <w:r w:rsidR="005A4A97">
              <w:t xml:space="preserve"> from entertainment revenue </w:t>
            </w:r>
            <w:r>
              <w:t xml:space="preserve">associated with </w:t>
            </w:r>
            <w:proofErr w:type="spellStart"/>
            <w:r>
              <w:t>complimentaries</w:t>
            </w:r>
            <w:proofErr w:type="spellEnd"/>
            <w:r>
              <w:t>, refunds and credit/debit card fees and any other charge or fee that was deducted or excluded from taxable admission charges.</w:t>
            </w:r>
            <w:r w:rsidR="005A4A97">
              <w:t xml:space="preserve">  </w:t>
            </w:r>
            <w:r w:rsidRPr="00FF458D">
              <w:rPr>
                <w:b/>
              </w:rPr>
              <w:t>(Revenue)</w:t>
            </w:r>
          </w:p>
          <w:p w14:paraId="180744E2" w14:textId="77777777" w:rsidR="000B551D" w:rsidRDefault="000B551D" w:rsidP="000B551D">
            <w:pPr>
              <w:pStyle w:val="List"/>
            </w:pPr>
          </w:p>
        </w:tc>
        <w:tc>
          <w:tcPr>
            <w:tcW w:w="1082" w:type="dxa"/>
            <w:tcBorders>
              <w:top w:val="single" w:sz="6" w:space="0" w:color="auto"/>
              <w:left w:val="single" w:sz="4" w:space="0" w:color="auto"/>
              <w:bottom w:val="single" w:sz="6" w:space="0" w:color="auto"/>
              <w:right w:val="single" w:sz="6" w:space="0" w:color="auto"/>
            </w:tcBorders>
          </w:tcPr>
          <w:p w14:paraId="69EA5BE7" w14:textId="77777777" w:rsidR="000B551D" w:rsidRDefault="000B551D">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5ED4A9E6" w14:textId="77777777" w:rsidR="000B551D" w:rsidRDefault="000B551D">
            <w:pPr>
              <w:numPr>
                <w:ilvl w:val="12"/>
                <w:numId w:val="0"/>
              </w:numPr>
              <w:rPr>
                <w:rFonts w:ascii="Times New Roman" w:hAnsi="Times New Roman" w:cs="Times New Roman"/>
              </w:rPr>
            </w:pPr>
          </w:p>
        </w:tc>
      </w:tr>
      <w:tr w:rsidR="00CE5525" w14:paraId="33DFD9A2"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0DED93EB" w14:textId="77777777" w:rsidR="00CE5525" w:rsidRDefault="000B551D" w:rsidP="000B551D">
            <w:pPr>
              <w:pStyle w:val="List"/>
            </w:pPr>
            <w:r>
              <w:t>2</w:t>
            </w:r>
            <w:r w:rsidR="00544097">
              <w:t>3</w:t>
            </w:r>
            <w:r w:rsidR="0094395D">
              <w:t>.</w:t>
            </w:r>
            <w:r>
              <w:t xml:space="preserve">  </w:t>
            </w:r>
            <w:r w:rsidR="00CE5525">
              <w:t>For the month in which a test day was selected</w:t>
            </w:r>
            <w:r>
              <w:t>,</w:t>
            </w:r>
            <w:r w:rsidR="00CE5525">
              <w:t xml:space="preserve"> trace</w:t>
            </w:r>
            <w:r w:rsidR="00C33E78">
              <w:t xml:space="preserve"> </w:t>
            </w:r>
            <w:r w:rsidR="00C33E78" w:rsidRPr="007F62D5">
              <w:t>the month-to-date</w:t>
            </w:r>
            <w:r w:rsidR="00CE5525">
              <w:t xml:space="preserve"> </w:t>
            </w:r>
            <w:r>
              <w:t>admission charges</w:t>
            </w:r>
            <w:r w:rsidR="00CE5525">
              <w:t xml:space="preserve"> per the </w:t>
            </w:r>
            <w:r w:rsidR="001F5096">
              <w:t>monthly</w:t>
            </w:r>
            <w:r w:rsidR="00CE5525">
              <w:t xml:space="preserve"> </w:t>
            </w:r>
            <w:r w:rsidR="00AC192A" w:rsidRPr="007F62D5">
              <w:t>entertainment recap report</w:t>
            </w:r>
            <w:r w:rsidR="00AC192A">
              <w:t xml:space="preserve"> </w:t>
            </w:r>
            <w:r w:rsidR="00CE5525">
              <w:t xml:space="preserve">to the general ledger and </w:t>
            </w:r>
            <w:r>
              <w:t xml:space="preserve">to the </w:t>
            </w:r>
            <w:r w:rsidR="00CE5525">
              <w:t xml:space="preserve">monthly NGC tax return.  </w:t>
            </w:r>
            <w:r w:rsidR="00CE5525">
              <w:rPr>
                <w:b/>
                <w:bCs/>
              </w:rPr>
              <w:t>(Revenue)</w:t>
            </w:r>
          </w:p>
          <w:p w14:paraId="6E505C7C" w14:textId="77777777" w:rsidR="00CE5525" w:rsidRDefault="00CE5525" w:rsidP="000B551D">
            <w:pPr>
              <w:pStyle w:val="List"/>
              <w:ind w:firstLine="0"/>
            </w:pPr>
          </w:p>
        </w:tc>
        <w:tc>
          <w:tcPr>
            <w:tcW w:w="1082" w:type="dxa"/>
            <w:tcBorders>
              <w:top w:val="single" w:sz="6" w:space="0" w:color="auto"/>
              <w:left w:val="single" w:sz="4" w:space="0" w:color="auto"/>
              <w:bottom w:val="single" w:sz="6" w:space="0" w:color="auto"/>
              <w:right w:val="single" w:sz="6" w:space="0" w:color="auto"/>
            </w:tcBorders>
          </w:tcPr>
          <w:p w14:paraId="1BF8F124" w14:textId="77777777" w:rsidR="00CE5525" w:rsidRDefault="00CE5525">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3847C1BA" w14:textId="77777777" w:rsidR="00CE5525" w:rsidRDefault="00CE5525">
            <w:pPr>
              <w:numPr>
                <w:ilvl w:val="12"/>
                <w:numId w:val="0"/>
              </w:numPr>
              <w:rPr>
                <w:rFonts w:ascii="Times New Roman" w:hAnsi="Times New Roman" w:cs="Times New Roman"/>
              </w:rPr>
            </w:pPr>
          </w:p>
        </w:tc>
      </w:tr>
      <w:tr w:rsidR="00544097" w14:paraId="5295CD56"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2DACE642" w14:textId="77777777" w:rsidR="00544097" w:rsidRDefault="00544097" w:rsidP="00514017">
            <w:pPr>
              <w:pStyle w:val="List"/>
              <w:ind w:left="404" w:hanging="404"/>
              <w:rPr>
                <w:b/>
                <w:bCs/>
              </w:rPr>
            </w:pPr>
            <w:r>
              <w:t xml:space="preserve">24.   Examine the general ledger for any activity that was not included in reported revenue but should have been.  </w:t>
            </w:r>
            <w:r>
              <w:rPr>
                <w:b/>
                <w:bCs/>
              </w:rPr>
              <w:t>(Revenue)</w:t>
            </w:r>
          </w:p>
          <w:p w14:paraId="5D0A339D" w14:textId="77777777" w:rsidR="00544097" w:rsidRDefault="00544097" w:rsidP="000B551D">
            <w:pPr>
              <w:pStyle w:val="List"/>
            </w:pPr>
          </w:p>
        </w:tc>
        <w:tc>
          <w:tcPr>
            <w:tcW w:w="1082" w:type="dxa"/>
            <w:tcBorders>
              <w:top w:val="single" w:sz="6" w:space="0" w:color="auto"/>
              <w:left w:val="single" w:sz="4" w:space="0" w:color="auto"/>
              <w:bottom w:val="single" w:sz="6" w:space="0" w:color="auto"/>
              <w:right w:val="single" w:sz="6" w:space="0" w:color="auto"/>
            </w:tcBorders>
          </w:tcPr>
          <w:p w14:paraId="6B6AEC5E" w14:textId="77777777" w:rsidR="00544097" w:rsidRDefault="00544097">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7FFAC649" w14:textId="77777777" w:rsidR="00544097" w:rsidRDefault="00544097">
            <w:pPr>
              <w:numPr>
                <w:ilvl w:val="12"/>
                <w:numId w:val="0"/>
              </w:numPr>
              <w:rPr>
                <w:rFonts w:ascii="Times New Roman" w:hAnsi="Times New Roman" w:cs="Times New Roman"/>
              </w:rPr>
            </w:pPr>
          </w:p>
        </w:tc>
      </w:tr>
      <w:tr w:rsidR="00FF458D" w14:paraId="265D375A"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57F34EF5" w14:textId="77777777" w:rsidR="00F31D74" w:rsidRDefault="007711D8" w:rsidP="00ED7BAD">
            <w:pPr>
              <w:pStyle w:val="List"/>
              <w:numPr>
                <w:ilvl w:val="0"/>
                <w:numId w:val="22"/>
              </w:numPr>
            </w:pPr>
            <w:r>
              <w:t xml:space="preserve">If </w:t>
            </w:r>
            <w:r w:rsidR="00F31D74">
              <w:t>admission ticket sales are reported on the accrual basis</w:t>
            </w:r>
            <w:r w:rsidR="00130E45">
              <w:t>,</w:t>
            </w:r>
            <w:r w:rsidR="00F31D74">
              <w:t xml:space="preserve"> as allowed pursuant to MICS #32, perform the following:</w:t>
            </w:r>
          </w:p>
          <w:p w14:paraId="2C28EA5E" w14:textId="77777777" w:rsidR="008477AB" w:rsidRDefault="008477AB" w:rsidP="008477AB">
            <w:pPr>
              <w:pStyle w:val="List"/>
              <w:ind w:firstLine="0"/>
            </w:pPr>
          </w:p>
        </w:tc>
        <w:tc>
          <w:tcPr>
            <w:tcW w:w="1082" w:type="dxa"/>
            <w:tcBorders>
              <w:top w:val="single" w:sz="6" w:space="0" w:color="auto"/>
              <w:left w:val="single" w:sz="4" w:space="0" w:color="auto"/>
              <w:bottom w:val="single" w:sz="6" w:space="0" w:color="auto"/>
              <w:right w:val="single" w:sz="6" w:space="0" w:color="auto"/>
            </w:tcBorders>
            <w:shd w:val="clear" w:color="auto" w:fill="D9D9D9"/>
          </w:tcPr>
          <w:p w14:paraId="38B3D810" w14:textId="77777777" w:rsidR="00FF458D" w:rsidRDefault="00FF458D">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shd w:val="clear" w:color="auto" w:fill="D9D9D9"/>
          </w:tcPr>
          <w:p w14:paraId="6674B554" w14:textId="77777777" w:rsidR="00FF458D" w:rsidRDefault="00FF458D">
            <w:pPr>
              <w:numPr>
                <w:ilvl w:val="12"/>
                <w:numId w:val="0"/>
              </w:numPr>
              <w:rPr>
                <w:rFonts w:ascii="Times New Roman" w:hAnsi="Times New Roman" w:cs="Times New Roman"/>
              </w:rPr>
            </w:pPr>
          </w:p>
        </w:tc>
      </w:tr>
      <w:tr w:rsidR="00F31D74" w14:paraId="18B062C5"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61213762" w14:textId="77777777" w:rsidR="00F31D74" w:rsidRDefault="00130E45" w:rsidP="005C6CF9">
            <w:pPr>
              <w:pStyle w:val="List"/>
              <w:numPr>
                <w:ilvl w:val="1"/>
                <w:numId w:val="22"/>
              </w:numPr>
              <w:ind w:left="674" w:hanging="270"/>
              <w:rPr>
                <w:b/>
              </w:rPr>
            </w:pPr>
            <w:r>
              <w:t>Select a sample of</w:t>
            </w:r>
            <w:r w:rsidR="00B346E7">
              <w:t xml:space="preserve"> 5</w:t>
            </w:r>
            <w:r w:rsidR="005C6CF9">
              <w:t xml:space="preserve"> </w:t>
            </w:r>
            <w:r>
              <w:t xml:space="preserve">admission tickets.  </w:t>
            </w:r>
            <w:r w:rsidR="008477AB">
              <w:t>Trace these tickets from the daily admission sales report to the report by show/event which indicates the individual admission tickets sold for that event.</w:t>
            </w:r>
            <w:r w:rsidR="008B6A8C">
              <w:t xml:space="preserve"> </w:t>
            </w:r>
            <w:r w:rsidR="009263DD">
              <w:t xml:space="preserve"> </w:t>
            </w:r>
            <w:r w:rsidR="00B346E7">
              <w:rPr>
                <w:b/>
              </w:rPr>
              <w:t>(Revenue)</w:t>
            </w:r>
          </w:p>
          <w:p w14:paraId="52569393" w14:textId="77777777" w:rsidR="00130E45" w:rsidRDefault="00130E45" w:rsidP="00130E45">
            <w:pPr>
              <w:pStyle w:val="List"/>
              <w:ind w:left="674" w:hanging="270"/>
            </w:pPr>
          </w:p>
        </w:tc>
        <w:tc>
          <w:tcPr>
            <w:tcW w:w="1082" w:type="dxa"/>
            <w:tcBorders>
              <w:top w:val="single" w:sz="6" w:space="0" w:color="auto"/>
              <w:left w:val="single" w:sz="4" w:space="0" w:color="auto"/>
              <w:bottom w:val="single" w:sz="6" w:space="0" w:color="auto"/>
              <w:right w:val="single" w:sz="6" w:space="0" w:color="auto"/>
            </w:tcBorders>
          </w:tcPr>
          <w:p w14:paraId="5E685A99" w14:textId="77777777" w:rsidR="00F31D74" w:rsidRDefault="00F31D74">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64688482" w14:textId="77777777" w:rsidR="00F31D74" w:rsidRDefault="00F31D74">
            <w:pPr>
              <w:numPr>
                <w:ilvl w:val="12"/>
                <w:numId w:val="0"/>
              </w:numPr>
              <w:rPr>
                <w:rFonts w:ascii="Times New Roman" w:hAnsi="Times New Roman" w:cs="Times New Roman"/>
              </w:rPr>
            </w:pPr>
          </w:p>
        </w:tc>
      </w:tr>
      <w:tr w:rsidR="00F31D74" w14:paraId="29CC9A99"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41C9D67D" w14:textId="77777777" w:rsidR="00F31D74" w:rsidRPr="00D01C06" w:rsidRDefault="003679D3" w:rsidP="00F31D74">
            <w:pPr>
              <w:pStyle w:val="List"/>
              <w:ind w:left="674" w:hanging="270"/>
              <w:rPr>
                <w:b/>
              </w:rPr>
            </w:pPr>
            <w:r>
              <w:t>b.</w:t>
            </w:r>
            <w:r w:rsidR="00F31D74">
              <w:t xml:space="preserve">  </w:t>
            </w:r>
            <w:r w:rsidR="00B346E7">
              <w:t xml:space="preserve">From the sample, select one report by show/event and trace the total to the corresponding daily admissions summary.  </w:t>
            </w:r>
            <w:r w:rsidR="007711D8">
              <w:rPr>
                <w:b/>
              </w:rPr>
              <w:t>(Revenue)</w:t>
            </w:r>
          </w:p>
          <w:p w14:paraId="773658B7" w14:textId="77777777" w:rsidR="00F31D74" w:rsidRDefault="00F31D74" w:rsidP="00D01C06">
            <w:pPr>
              <w:pStyle w:val="List"/>
              <w:ind w:left="0" w:firstLine="0"/>
            </w:pPr>
          </w:p>
        </w:tc>
        <w:tc>
          <w:tcPr>
            <w:tcW w:w="1082" w:type="dxa"/>
            <w:tcBorders>
              <w:top w:val="single" w:sz="6" w:space="0" w:color="auto"/>
              <w:left w:val="single" w:sz="4" w:space="0" w:color="auto"/>
              <w:bottom w:val="single" w:sz="6" w:space="0" w:color="auto"/>
              <w:right w:val="single" w:sz="6" w:space="0" w:color="auto"/>
            </w:tcBorders>
          </w:tcPr>
          <w:p w14:paraId="7AF6667A" w14:textId="77777777" w:rsidR="00F31D74" w:rsidRDefault="00F31D74">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59C65C37" w14:textId="77777777" w:rsidR="00F31D74" w:rsidRDefault="00F31D74">
            <w:pPr>
              <w:numPr>
                <w:ilvl w:val="12"/>
                <w:numId w:val="0"/>
              </w:numPr>
              <w:rPr>
                <w:rFonts w:ascii="Times New Roman" w:hAnsi="Times New Roman" w:cs="Times New Roman"/>
              </w:rPr>
            </w:pPr>
          </w:p>
        </w:tc>
      </w:tr>
      <w:tr w:rsidR="00314FF8" w14:paraId="24ABA9FB"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4951" w:type="dxa"/>
            <w:tcBorders>
              <w:top w:val="single" w:sz="4" w:space="0" w:color="auto"/>
              <w:left w:val="single" w:sz="4" w:space="0" w:color="auto"/>
              <w:bottom w:val="single" w:sz="4" w:space="0" w:color="auto"/>
              <w:right w:val="single" w:sz="4" w:space="0" w:color="auto"/>
            </w:tcBorders>
          </w:tcPr>
          <w:p w14:paraId="5B40395B" w14:textId="5121020C" w:rsidR="00280D23" w:rsidRPr="00280D23" w:rsidRDefault="00314FF8" w:rsidP="00280D23">
            <w:pPr>
              <w:numPr>
                <w:ilvl w:val="0"/>
                <w:numId w:val="22"/>
              </w:numPr>
              <w:rPr>
                <w:rFonts w:ascii="Times New Roman" w:hAnsi="Times New Roman" w:cs="Times New Roman"/>
                <w:b/>
              </w:rPr>
            </w:pPr>
            <w:r>
              <w:rPr>
                <w:rFonts w:ascii="Times New Roman" w:hAnsi="Times New Roman" w:cs="Times New Roman"/>
              </w:rPr>
              <w:t>For the month in which a test date was selected, determine if there were any non-recurring or special events</w:t>
            </w:r>
            <w:r w:rsidR="00B346E7">
              <w:rPr>
                <w:rFonts w:ascii="Times New Roman" w:hAnsi="Times New Roman" w:cs="Times New Roman"/>
              </w:rPr>
              <w:t xml:space="preserve"> subject to entertainment tax</w:t>
            </w:r>
            <w:r>
              <w:rPr>
                <w:rFonts w:ascii="Times New Roman" w:hAnsi="Times New Roman" w:cs="Times New Roman"/>
              </w:rPr>
              <w:t>.  If so, s</w:t>
            </w:r>
            <w:r w:rsidRPr="00314FF8">
              <w:rPr>
                <w:rFonts w:ascii="Times New Roman" w:hAnsi="Times New Roman" w:cs="Times New Roman"/>
              </w:rPr>
              <w:t xml:space="preserve">elect one event and obtain the associated documentation.  Determine </w:t>
            </w:r>
            <w:r>
              <w:rPr>
                <w:rFonts w:ascii="Times New Roman" w:hAnsi="Times New Roman" w:cs="Times New Roman"/>
              </w:rPr>
              <w:t>the amount of taxable</w:t>
            </w:r>
            <w:r w:rsidRPr="00314FF8">
              <w:rPr>
                <w:rFonts w:ascii="Times New Roman" w:hAnsi="Times New Roman" w:cs="Times New Roman"/>
              </w:rPr>
              <w:t xml:space="preserve"> admission charges</w:t>
            </w:r>
            <w:r>
              <w:rPr>
                <w:rFonts w:ascii="Times New Roman" w:hAnsi="Times New Roman" w:cs="Times New Roman"/>
              </w:rPr>
              <w:t xml:space="preserve"> and</w:t>
            </w:r>
            <w:r w:rsidRPr="00314FF8">
              <w:rPr>
                <w:rFonts w:ascii="Times New Roman" w:hAnsi="Times New Roman" w:cs="Times New Roman"/>
              </w:rPr>
              <w:t xml:space="preserve"> trace to the </w:t>
            </w:r>
            <w:r>
              <w:rPr>
                <w:rFonts w:ascii="Times New Roman" w:hAnsi="Times New Roman" w:cs="Times New Roman"/>
              </w:rPr>
              <w:t>d</w:t>
            </w:r>
            <w:r w:rsidRPr="00314FF8">
              <w:rPr>
                <w:rFonts w:ascii="Times New Roman" w:hAnsi="Times New Roman" w:cs="Times New Roman"/>
              </w:rPr>
              <w:t xml:space="preserve">aily admissions summary.  </w:t>
            </w:r>
            <w:r w:rsidRPr="007D4B4B">
              <w:rPr>
                <w:rFonts w:ascii="Times New Roman" w:hAnsi="Times New Roman" w:cs="Times New Roman"/>
                <w:b/>
              </w:rPr>
              <w:t xml:space="preserve">(Revenue)  </w:t>
            </w:r>
            <w:r w:rsidR="00B346E7">
              <w:rPr>
                <w:rFonts w:ascii="Times New Roman" w:hAnsi="Times New Roman" w:cs="Times New Roman"/>
                <w:b/>
              </w:rPr>
              <w:t>Document the name and date of the</w:t>
            </w:r>
            <w:r w:rsidR="008528A5">
              <w:rPr>
                <w:rFonts w:ascii="Times New Roman" w:hAnsi="Times New Roman" w:cs="Times New Roman"/>
                <w:b/>
              </w:rPr>
              <w:t xml:space="preserve"> </w:t>
            </w:r>
            <w:r>
              <w:rPr>
                <w:rFonts w:ascii="Times New Roman" w:hAnsi="Times New Roman" w:cs="Times New Roman"/>
                <w:b/>
              </w:rPr>
              <w:t>event examined</w:t>
            </w:r>
            <w:r w:rsidRPr="007D4B4B">
              <w:rPr>
                <w:rFonts w:ascii="Times New Roman" w:hAnsi="Times New Roman" w:cs="Times New Roman"/>
                <w:b/>
              </w:rPr>
              <w:t xml:space="preserve">. </w:t>
            </w:r>
          </w:p>
          <w:p w14:paraId="2AA05F83" w14:textId="77777777" w:rsidR="00314FF8" w:rsidRDefault="00314FF8" w:rsidP="003A50BA">
            <w:pPr>
              <w:pStyle w:val="List"/>
              <w:ind w:firstLine="0"/>
            </w:pPr>
          </w:p>
          <w:p w14:paraId="4CB2B3B5" w14:textId="77777777" w:rsidR="00280D23" w:rsidRDefault="00280D23" w:rsidP="003A50BA">
            <w:pPr>
              <w:pStyle w:val="List"/>
              <w:ind w:firstLine="0"/>
            </w:pPr>
            <w:r>
              <w:rPr>
                <w:b/>
                <w:bCs/>
              </w:rPr>
              <w:t>Note:</w:t>
            </w:r>
            <w:r>
              <w:t xml:space="preserve">  If no special events (non-recurring) were held during the month selected, then choose another month in which a special event occurred.</w:t>
            </w:r>
          </w:p>
          <w:p w14:paraId="6984FB4F" w14:textId="77777777" w:rsidR="00280D23" w:rsidRDefault="00280D23" w:rsidP="003A50BA">
            <w:pPr>
              <w:pStyle w:val="List"/>
              <w:ind w:firstLine="0"/>
            </w:pPr>
          </w:p>
          <w:p w14:paraId="0C05D586" w14:textId="2C879C54" w:rsidR="002F3FA5" w:rsidRDefault="002F3FA5" w:rsidP="003A50BA">
            <w:pPr>
              <w:pStyle w:val="List"/>
              <w:ind w:firstLine="0"/>
            </w:pPr>
          </w:p>
        </w:tc>
        <w:tc>
          <w:tcPr>
            <w:tcW w:w="1082" w:type="dxa"/>
            <w:tcBorders>
              <w:top w:val="single" w:sz="6" w:space="0" w:color="auto"/>
              <w:left w:val="single" w:sz="4" w:space="0" w:color="auto"/>
              <w:bottom w:val="single" w:sz="6" w:space="0" w:color="auto"/>
              <w:right w:val="single" w:sz="6" w:space="0" w:color="auto"/>
            </w:tcBorders>
          </w:tcPr>
          <w:p w14:paraId="56DD1C57" w14:textId="77777777" w:rsidR="00314FF8" w:rsidRDefault="00314FF8">
            <w:pPr>
              <w:numPr>
                <w:ilvl w:val="12"/>
                <w:numId w:val="0"/>
              </w:numPr>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7B952B51" w14:textId="77777777" w:rsidR="00314FF8" w:rsidRDefault="00314FF8">
            <w:pPr>
              <w:numPr>
                <w:ilvl w:val="12"/>
                <w:numId w:val="0"/>
              </w:numPr>
              <w:rPr>
                <w:rFonts w:ascii="Times New Roman" w:hAnsi="Times New Roman" w:cs="Times New Roman"/>
              </w:rPr>
            </w:pPr>
          </w:p>
        </w:tc>
      </w:tr>
      <w:tr w:rsidR="00CE5525" w14:paraId="6A60D325" w14:textId="77777777" w:rsidTr="002F3FA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val="354"/>
          <w:jc w:val="center"/>
        </w:trPr>
        <w:tc>
          <w:tcPr>
            <w:tcW w:w="4951" w:type="dxa"/>
            <w:tcBorders>
              <w:top w:val="single" w:sz="4" w:space="0" w:color="auto"/>
              <w:left w:val="single" w:sz="4" w:space="0" w:color="auto"/>
              <w:bottom w:val="single" w:sz="4" w:space="0" w:color="auto"/>
              <w:right w:val="single" w:sz="4" w:space="0" w:color="auto"/>
            </w:tcBorders>
          </w:tcPr>
          <w:p w14:paraId="68A4B6DB" w14:textId="77777777" w:rsidR="00CE5525" w:rsidRPr="002F3FA5" w:rsidRDefault="00CE5525">
            <w:pPr>
              <w:pStyle w:val="List"/>
              <w:ind w:left="0" w:firstLine="0"/>
              <w:rPr>
                <w:b/>
                <w:bCs/>
                <w:sz w:val="24"/>
                <w:u w:val="single"/>
              </w:rPr>
            </w:pPr>
            <w:r w:rsidRPr="002F3FA5">
              <w:rPr>
                <w:b/>
                <w:bCs/>
                <w:sz w:val="22"/>
                <w:u w:val="single"/>
              </w:rPr>
              <w:lastRenderedPageBreak/>
              <w:t>Procedures Modified or Added</w:t>
            </w:r>
          </w:p>
        </w:tc>
        <w:tc>
          <w:tcPr>
            <w:tcW w:w="1082" w:type="dxa"/>
            <w:tcBorders>
              <w:top w:val="single" w:sz="6" w:space="0" w:color="auto"/>
              <w:left w:val="single" w:sz="4" w:space="0" w:color="auto"/>
              <w:bottom w:val="single" w:sz="6" w:space="0" w:color="auto"/>
              <w:right w:val="single" w:sz="6" w:space="0" w:color="auto"/>
            </w:tcBorders>
          </w:tcPr>
          <w:p w14:paraId="1207E400" w14:textId="77777777" w:rsidR="00CE5525" w:rsidRDefault="00CE5525">
            <w:pPr>
              <w:pStyle w:val="Header"/>
              <w:numPr>
                <w:ilvl w:val="12"/>
                <w:numId w:val="0"/>
              </w:numPr>
              <w:tabs>
                <w:tab w:val="clear" w:pos="4320"/>
                <w:tab w:val="clear" w:pos="8640"/>
              </w:tabs>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53C291D1" w14:textId="77777777" w:rsidR="00CE5525" w:rsidRDefault="00CE5525">
            <w:pPr>
              <w:numPr>
                <w:ilvl w:val="12"/>
                <w:numId w:val="0"/>
              </w:numPr>
              <w:rPr>
                <w:rFonts w:ascii="Times New Roman" w:hAnsi="Times New Roman" w:cs="Times New Roman"/>
              </w:rPr>
            </w:pPr>
          </w:p>
        </w:tc>
      </w:tr>
      <w:tr w:rsidR="00314FF8" w14:paraId="59FD0A0A"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val="345"/>
          <w:jc w:val="center"/>
        </w:trPr>
        <w:tc>
          <w:tcPr>
            <w:tcW w:w="4951" w:type="dxa"/>
            <w:tcBorders>
              <w:top w:val="single" w:sz="4" w:space="0" w:color="auto"/>
              <w:left w:val="single" w:sz="4" w:space="0" w:color="auto"/>
              <w:bottom w:val="single" w:sz="4" w:space="0" w:color="auto"/>
              <w:right w:val="single" w:sz="4" w:space="0" w:color="auto"/>
            </w:tcBorders>
          </w:tcPr>
          <w:p w14:paraId="1F911294" w14:textId="77777777" w:rsidR="00314FF8" w:rsidRDefault="00314FF8" w:rsidP="00314FF8">
            <w:pPr>
              <w:pStyle w:val="List"/>
              <w:ind w:left="0" w:firstLine="0"/>
              <w:rPr>
                <w:b/>
                <w:bCs/>
                <w:u w:val="single"/>
              </w:rPr>
            </w:pPr>
          </w:p>
        </w:tc>
        <w:tc>
          <w:tcPr>
            <w:tcW w:w="1082" w:type="dxa"/>
            <w:tcBorders>
              <w:top w:val="single" w:sz="6" w:space="0" w:color="auto"/>
              <w:left w:val="single" w:sz="4" w:space="0" w:color="auto"/>
              <w:bottom w:val="single" w:sz="6" w:space="0" w:color="auto"/>
              <w:right w:val="single" w:sz="6" w:space="0" w:color="auto"/>
            </w:tcBorders>
          </w:tcPr>
          <w:p w14:paraId="1B826CF8" w14:textId="77777777" w:rsidR="00314FF8" w:rsidRDefault="00314FF8" w:rsidP="00314FF8">
            <w:pPr>
              <w:pStyle w:val="Header"/>
              <w:numPr>
                <w:ilvl w:val="12"/>
                <w:numId w:val="0"/>
              </w:numPr>
              <w:tabs>
                <w:tab w:val="clear" w:pos="4320"/>
                <w:tab w:val="clear" w:pos="8640"/>
              </w:tabs>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759B1838" w14:textId="77777777" w:rsidR="00314FF8" w:rsidRDefault="00314FF8" w:rsidP="00314FF8">
            <w:pPr>
              <w:numPr>
                <w:ilvl w:val="12"/>
                <w:numId w:val="0"/>
              </w:numPr>
              <w:rPr>
                <w:rFonts w:ascii="Times New Roman" w:hAnsi="Times New Roman" w:cs="Times New Roman"/>
              </w:rPr>
            </w:pPr>
          </w:p>
        </w:tc>
      </w:tr>
      <w:tr w:rsidR="00314FF8" w14:paraId="00C524EF"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val="345"/>
          <w:jc w:val="center"/>
        </w:trPr>
        <w:tc>
          <w:tcPr>
            <w:tcW w:w="4951" w:type="dxa"/>
            <w:tcBorders>
              <w:top w:val="single" w:sz="4" w:space="0" w:color="auto"/>
              <w:left w:val="single" w:sz="4" w:space="0" w:color="auto"/>
              <w:bottom w:val="single" w:sz="4" w:space="0" w:color="auto"/>
              <w:right w:val="single" w:sz="4" w:space="0" w:color="auto"/>
            </w:tcBorders>
          </w:tcPr>
          <w:p w14:paraId="5B76F879" w14:textId="77777777" w:rsidR="00314FF8" w:rsidRDefault="00314FF8" w:rsidP="003A50BA">
            <w:pPr>
              <w:ind w:left="360"/>
              <w:rPr>
                <w:b/>
                <w:bCs/>
                <w:u w:val="single"/>
              </w:rPr>
            </w:pPr>
          </w:p>
        </w:tc>
        <w:tc>
          <w:tcPr>
            <w:tcW w:w="1082" w:type="dxa"/>
            <w:tcBorders>
              <w:top w:val="single" w:sz="6" w:space="0" w:color="auto"/>
              <w:left w:val="single" w:sz="4" w:space="0" w:color="auto"/>
              <w:bottom w:val="single" w:sz="6" w:space="0" w:color="auto"/>
              <w:right w:val="single" w:sz="6" w:space="0" w:color="auto"/>
            </w:tcBorders>
          </w:tcPr>
          <w:p w14:paraId="7E2727CC" w14:textId="77777777" w:rsidR="00314FF8" w:rsidRDefault="00314FF8" w:rsidP="00314FF8">
            <w:pPr>
              <w:pStyle w:val="Header"/>
              <w:numPr>
                <w:ilvl w:val="12"/>
                <w:numId w:val="0"/>
              </w:numPr>
              <w:tabs>
                <w:tab w:val="clear" w:pos="4320"/>
                <w:tab w:val="clear" w:pos="8640"/>
              </w:tabs>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3F2EC840" w14:textId="77777777" w:rsidR="00314FF8" w:rsidRDefault="00314FF8" w:rsidP="00314FF8">
            <w:pPr>
              <w:numPr>
                <w:ilvl w:val="12"/>
                <w:numId w:val="0"/>
              </w:numPr>
              <w:rPr>
                <w:rFonts w:ascii="Times New Roman" w:hAnsi="Times New Roman" w:cs="Times New Roman"/>
              </w:rPr>
            </w:pPr>
          </w:p>
        </w:tc>
      </w:tr>
      <w:tr w:rsidR="00314FF8" w14:paraId="7DB433EC" w14:textId="77777777" w:rsidTr="00E87F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val="345"/>
          <w:jc w:val="center"/>
        </w:trPr>
        <w:tc>
          <w:tcPr>
            <w:tcW w:w="4951" w:type="dxa"/>
            <w:tcBorders>
              <w:top w:val="single" w:sz="4" w:space="0" w:color="auto"/>
              <w:left w:val="single" w:sz="4" w:space="0" w:color="auto"/>
              <w:bottom w:val="single" w:sz="4" w:space="0" w:color="auto"/>
              <w:right w:val="single" w:sz="4" w:space="0" w:color="auto"/>
            </w:tcBorders>
          </w:tcPr>
          <w:p w14:paraId="26268499" w14:textId="77777777" w:rsidR="00314FF8" w:rsidRDefault="00314FF8" w:rsidP="00314FF8">
            <w:pPr>
              <w:pStyle w:val="List"/>
              <w:ind w:left="0" w:firstLine="0"/>
              <w:rPr>
                <w:b/>
                <w:bCs/>
                <w:u w:val="single"/>
              </w:rPr>
            </w:pPr>
          </w:p>
        </w:tc>
        <w:tc>
          <w:tcPr>
            <w:tcW w:w="1082" w:type="dxa"/>
            <w:tcBorders>
              <w:top w:val="single" w:sz="6" w:space="0" w:color="auto"/>
              <w:left w:val="single" w:sz="4" w:space="0" w:color="auto"/>
              <w:bottom w:val="single" w:sz="6" w:space="0" w:color="auto"/>
              <w:right w:val="single" w:sz="6" w:space="0" w:color="auto"/>
            </w:tcBorders>
          </w:tcPr>
          <w:p w14:paraId="2EB995A9" w14:textId="77777777" w:rsidR="00314FF8" w:rsidRDefault="00314FF8" w:rsidP="00314FF8">
            <w:pPr>
              <w:pStyle w:val="Header"/>
              <w:numPr>
                <w:ilvl w:val="12"/>
                <w:numId w:val="0"/>
              </w:numPr>
              <w:tabs>
                <w:tab w:val="clear" w:pos="4320"/>
                <w:tab w:val="clear" w:pos="8640"/>
              </w:tabs>
              <w:rPr>
                <w:rFonts w:ascii="Times New Roman" w:hAnsi="Times New Roman" w:cs="Times New Roman"/>
              </w:rPr>
            </w:pPr>
          </w:p>
        </w:tc>
        <w:tc>
          <w:tcPr>
            <w:tcW w:w="4587" w:type="dxa"/>
            <w:tcBorders>
              <w:top w:val="single" w:sz="6" w:space="0" w:color="auto"/>
              <w:left w:val="single" w:sz="6" w:space="0" w:color="auto"/>
              <w:bottom w:val="single" w:sz="6" w:space="0" w:color="auto"/>
              <w:right w:val="single" w:sz="6" w:space="0" w:color="auto"/>
            </w:tcBorders>
          </w:tcPr>
          <w:p w14:paraId="20AF3C97" w14:textId="77777777" w:rsidR="00314FF8" w:rsidRDefault="00314FF8" w:rsidP="00314FF8">
            <w:pPr>
              <w:numPr>
                <w:ilvl w:val="12"/>
                <w:numId w:val="0"/>
              </w:numPr>
              <w:rPr>
                <w:rFonts w:ascii="Times New Roman" w:hAnsi="Times New Roman" w:cs="Times New Roman"/>
              </w:rPr>
            </w:pPr>
          </w:p>
        </w:tc>
      </w:tr>
    </w:tbl>
    <w:p w14:paraId="0538DCBC" w14:textId="77777777" w:rsidR="00CE5525" w:rsidRDefault="00CE5525">
      <w:pPr>
        <w:rPr>
          <w:rFonts w:ascii="Times New Roman" w:hAnsi="Times New Roman" w:cs="Times New Roman"/>
          <w:b/>
          <w:bCs/>
          <w:szCs w:val="32"/>
          <w:u w:val="single"/>
        </w:rPr>
      </w:pPr>
    </w:p>
    <w:sectPr w:rsidR="00CE5525" w:rsidSect="00880F88">
      <w:headerReference w:type="default" r:id="rId8"/>
      <w:footerReference w:type="default" r:id="rId9"/>
      <w:pgSz w:w="12240" w:h="15840" w:code="1"/>
      <w:pgMar w:top="720" w:right="720" w:bottom="720" w:left="720" w:header="720"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7ECA" w14:textId="77777777" w:rsidR="000A5437" w:rsidRDefault="000A5437">
      <w:r>
        <w:separator/>
      </w:r>
    </w:p>
  </w:endnote>
  <w:endnote w:type="continuationSeparator" w:id="0">
    <w:p w14:paraId="1169CA89" w14:textId="77777777" w:rsidR="000A5437" w:rsidRDefault="000A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4400" w14:textId="77777777" w:rsidR="00F05EE0" w:rsidRDefault="00F05EE0" w:rsidP="00CD6AE2">
    <w:pPr>
      <w:pStyle w:val="Footer"/>
      <w:tabs>
        <w:tab w:val="clear" w:pos="4320"/>
        <w:tab w:val="clear" w:pos="8640"/>
        <w:tab w:val="left" w:pos="3615"/>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sym w:font="Wingdings" w:char="F0FC"/>
    </w:r>
    <w:r>
      <w:rPr>
        <w:rFonts w:ascii="Times New Roman" w:hAnsi="Times New Roman" w:cs="Times New Roman"/>
        <w:b/>
        <w:bCs/>
      </w:rPr>
      <w:t xml:space="preserve"> </w:t>
    </w:r>
    <w:r>
      <w:rPr>
        <w:rFonts w:ascii="Times New Roman" w:hAnsi="Times New Roman" w:cs="Times New Roman"/>
      </w:rPr>
      <w:t>- Step completed without exception</w:t>
    </w:r>
    <w:r>
      <w:rPr>
        <w:rFonts w:ascii="Times New Roman" w:hAnsi="Times New Roman" w:cs="Times New Roman"/>
      </w:rPr>
      <w:tab/>
    </w:r>
  </w:p>
  <w:p w14:paraId="621D7E41" w14:textId="77777777" w:rsidR="00F05EE0" w:rsidRDefault="00F05EE0">
    <w:pPr>
      <w:pStyle w:val="Footer"/>
      <w:tabs>
        <w:tab w:val="clear" w:pos="4320"/>
        <w:tab w:val="clear" w:pos="8640"/>
        <w:tab w:val="left" w:pos="975"/>
        <w:tab w:val="left" w:pos="14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0815DAE" w14:textId="21645D26" w:rsidR="00F05EE0" w:rsidRPr="00E15A60" w:rsidRDefault="00F05EE0" w:rsidP="00A81ECA">
    <w:pPr>
      <w:pStyle w:val="Footer"/>
      <w:rPr>
        <w:rFonts w:ascii="Times New Roman" w:hAnsi="Times New Roman"/>
        <w:b/>
        <w:u w:val="single"/>
      </w:rPr>
    </w:pPr>
    <w:r w:rsidRPr="00E15A60">
      <w:rPr>
        <w:rFonts w:ascii="Times New Roman" w:hAnsi="Times New Roman"/>
      </w:rPr>
      <w:t xml:space="preserve">VERSION </w:t>
    </w:r>
    <w:r w:rsidR="00880F88">
      <w:rPr>
        <w:rFonts w:ascii="Times New Roman" w:hAnsi="Times New Roman"/>
      </w:rPr>
      <w:t>9</w:t>
    </w:r>
  </w:p>
  <w:p w14:paraId="1DF39C6D" w14:textId="2256436A" w:rsidR="00F05EE0" w:rsidRDefault="00F05EE0" w:rsidP="00A81ECA">
    <w:pPr>
      <w:pStyle w:val="Footer"/>
      <w:rPr>
        <w:rFonts w:ascii="Times New Roman" w:hAnsi="Times New Roman" w:cs="Times New Roman"/>
      </w:rPr>
    </w:pPr>
    <w:r w:rsidRPr="00E15A60">
      <w:rPr>
        <w:rFonts w:ascii="Times New Roman" w:hAnsi="Times New Roman"/>
      </w:rPr>
      <w:t xml:space="preserve">EFFECTIVE:  </w:t>
    </w:r>
    <w:r w:rsidR="00880F88">
      <w:rPr>
        <w:rFonts w:ascii="Times New Roman" w:hAnsi="Times New Roman"/>
      </w:rPr>
      <w:t>April 1, 2023</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E911BA">
      <w:rPr>
        <w:rFonts w:ascii="Times New Roman" w:hAnsi="Times New Roman" w:cs="Times New Roman"/>
      </w:rPr>
      <w:t xml:space="preserve">Page </w:t>
    </w:r>
    <w:r w:rsidRPr="00E911BA">
      <w:rPr>
        <w:rFonts w:ascii="Times New Roman" w:hAnsi="Times New Roman" w:cs="Times New Roman"/>
      </w:rPr>
      <w:fldChar w:fldCharType="begin"/>
    </w:r>
    <w:r w:rsidRPr="00E911BA">
      <w:rPr>
        <w:rFonts w:ascii="Times New Roman" w:hAnsi="Times New Roman" w:cs="Times New Roman"/>
      </w:rPr>
      <w:instrText xml:space="preserve"> PAGE </w:instrText>
    </w:r>
    <w:r w:rsidRPr="00E911BA">
      <w:rPr>
        <w:rFonts w:ascii="Times New Roman" w:hAnsi="Times New Roman" w:cs="Times New Roman"/>
      </w:rPr>
      <w:fldChar w:fldCharType="separate"/>
    </w:r>
    <w:r w:rsidR="00880F88">
      <w:rPr>
        <w:rFonts w:ascii="Times New Roman" w:hAnsi="Times New Roman" w:cs="Times New Roman"/>
        <w:noProof/>
      </w:rPr>
      <w:t>6</w:t>
    </w:r>
    <w:r w:rsidRPr="00E911BA">
      <w:rPr>
        <w:rFonts w:ascii="Times New Roman" w:hAnsi="Times New Roman" w:cs="Times New Roman"/>
      </w:rPr>
      <w:fldChar w:fldCharType="end"/>
    </w:r>
    <w:r>
      <w:rPr>
        <w:rFonts w:ascii="Times New Roman" w:hAnsi="Times New Roman" w:cs="Times New Roman"/>
      </w:rPr>
      <w:t xml:space="preserve"> </w:t>
    </w:r>
    <w:r w:rsidRPr="00E911BA">
      <w:rPr>
        <w:rFonts w:ascii="Times New Roman" w:hAnsi="Times New Roman" w:cs="Times New Roman"/>
      </w:rPr>
      <w:t xml:space="preserve">of </w:t>
    </w:r>
    <w:r w:rsidR="00880F88">
      <w:rPr>
        <w:rFonts w:ascii="Times New Roman" w:hAnsi="Times New Roman" w:cs="Times New Roman"/>
      </w:rPr>
      <w:fldChar w:fldCharType="begin"/>
    </w:r>
    <w:r w:rsidR="00880F88">
      <w:rPr>
        <w:rFonts w:ascii="Times New Roman" w:hAnsi="Times New Roman" w:cs="Times New Roman"/>
      </w:rPr>
      <w:instrText xml:space="preserve"> NUMPAGES  </w:instrText>
    </w:r>
    <w:r w:rsidR="00880F88">
      <w:rPr>
        <w:rFonts w:ascii="Times New Roman" w:hAnsi="Times New Roman" w:cs="Times New Roman"/>
      </w:rPr>
      <w:fldChar w:fldCharType="separate"/>
    </w:r>
    <w:r w:rsidR="00880F88">
      <w:rPr>
        <w:rFonts w:ascii="Times New Roman" w:hAnsi="Times New Roman" w:cs="Times New Roman"/>
        <w:noProof/>
      </w:rPr>
      <w:t>6</w:t>
    </w:r>
    <w:r w:rsidR="00880F88">
      <w:rPr>
        <w:rFonts w:ascii="Times New Roman" w:hAnsi="Times New Roman" w:cs="Times New Roman"/>
      </w:rPr>
      <w:fldChar w:fldCharType="end"/>
    </w:r>
  </w:p>
  <w:p w14:paraId="25C4CEA0" w14:textId="77777777" w:rsidR="00F05EE0" w:rsidRDefault="00F05EE0">
    <w:pPr>
      <w:pStyle w:val="Footer"/>
      <w:ind w:right="360"/>
      <w:rPr>
        <w:rFonts w:ascii="Times New Roman" w:hAnsi="Times New Roman" w:cs="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52BB" w14:textId="77777777" w:rsidR="000A5437" w:rsidRDefault="000A5437">
      <w:r>
        <w:separator/>
      </w:r>
    </w:p>
  </w:footnote>
  <w:footnote w:type="continuationSeparator" w:id="0">
    <w:p w14:paraId="4349DE5A" w14:textId="77777777" w:rsidR="000A5437" w:rsidRDefault="000A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8FE7" w14:textId="77777777" w:rsidR="00F05EE0" w:rsidRDefault="00F05EE0" w:rsidP="00C76E94">
    <w:pPr>
      <w:pStyle w:val="Header"/>
      <w:ind w:right="360"/>
      <w:jc w:val="center"/>
      <w:rPr>
        <w:rFonts w:ascii="Times New Roman" w:hAnsi="Times New Roman" w:cs="Times New Roman"/>
      </w:rPr>
    </w:pPr>
    <w:r>
      <w:rPr>
        <w:rFonts w:ascii="Times New Roman" w:hAnsi="Times New Roman" w:cs="Times New Roman"/>
      </w:rPr>
      <w:t xml:space="preserve">      </w:t>
    </w:r>
  </w:p>
  <w:p w14:paraId="3A675BD9" w14:textId="77777777" w:rsidR="00F05EE0" w:rsidRDefault="001124A2" w:rsidP="00C76E94">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553BBE" wp14:editId="5BE1C66F">
              <wp:simplePos x="0" y="0"/>
              <wp:positionH relativeFrom="column">
                <wp:posOffset>5423535</wp:posOffset>
              </wp:positionH>
              <wp:positionV relativeFrom="paragraph">
                <wp:posOffset>43815</wp:posOffset>
              </wp:positionV>
              <wp:extent cx="12954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2E55DE3C" w14:textId="77777777" w:rsidR="00F05EE0" w:rsidRDefault="00F05EE0" w:rsidP="00AE601A">
                          <w:pPr>
                            <w:jc w:val="center"/>
                            <w:rPr>
                              <w:rFonts w:ascii="Times New Roman" w:hAnsi="Times New Roman" w:cs="Times New Roman"/>
                              <w:sz w:val="16"/>
                              <w:szCs w:val="16"/>
                            </w:rPr>
                          </w:pPr>
                          <w:r>
                            <w:rPr>
                              <w:rFonts w:ascii="Times New Roman" w:hAnsi="Times New Roman" w:cs="Times New Roman"/>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53BBE" id="_x0000_t202" coordsize="21600,21600" o:spt="202" path="m,l,21600r21600,l21600,xe">
              <v:stroke joinstyle="miter"/>
              <v:path gradientshapeok="t" o:connecttype="rect"/>
            </v:shapetype>
            <v:shape id="Text Box 5" o:spid="_x0000_s1026" type="#_x0000_t202" style="position:absolute;left:0;text-align:left;margin-left:427.05pt;margin-top:3.45pt;width:10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wPJwIAAFA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">
              <v:textbox>
                <w:txbxContent>
                  <w:p w14:paraId="2E55DE3C" w14:textId="77777777" w:rsidR="00F05EE0" w:rsidRDefault="00F05EE0" w:rsidP="00AE601A">
                    <w:pPr>
                      <w:jc w:val="center"/>
                      <w:rPr>
                        <w:rFonts w:ascii="Times New Roman" w:hAnsi="Times New Roman" w:cs="Times New Roman"/>
                        <w:sz w:val="16"/>
                        <w:szCs w:val="16"/>
                      </w:rPr>
                    </w:pPr>
                    <w:r>
                      <w:rPr>
                        <w:rFonts w:ascii="Times New Roman" w:hAnsi="Times New Roman" w:cs="Times New Roman"/>
                        <w:sz w:val="16"/>
                        <w:szCs w:val="16"/>
                      </w:rPr>
                      <w:t>Auditor’s Name and Date</w:t>
                    </w:r>
                  </w:p>
                </w:txbxContent>
              </v:textbox>
            </v:shape>
          </w:pict>
        </mc:Fallback>
      </mc:AlternateContent>
    </w:r>
    <w:r w:rsidR="006F2AF8">
      <w:rPr>
        <w:rFonts w:ascii="Times New Roman" w:hAnsi="Times New Roman" w:cs="Times New Roman"/>
      </w:rPr>
      <w:t xml:space="preserve">Nevada </w:t>
    </w:r>
    <w:r w:rsidR="00F05EE0">
      <w:rPr>
        <w:rFonts w:ascii="Times New Roman" w:hAnsi="Times New Roman" w:cs="Times New Roman"/>
      </w:rPr>
      <w:t>Gaming Control Board</w:t>
    </w:r>
  </w:p>
  <w:p w14:paraId="2A3B5FE3" w14:textId="77777777" w:rsidR="00F05EE0" w:rsidRDefault="001124A2" w:rsidP="00C76E94">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F866511" wp14:editId="61E027B9">
              <wp:simplePos x="0" y="0"/>
              <wp:positionH relativeFrom="column">
                <wp:posOffset>5423535</wp:posOffset>
              </wp:positionH>
              <wp:positionV relativeFrom="paragraph">
                <wp:posOffset>123190</wp:posOffset>
              </wp:positionV>
              <wp:extent cx="12954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17CB6DD7" w14:textId="77777777" w:rsidR="00F05EE0" w:rsidRDefault="00F05EE0" w:rsidP="00C76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6511" id="Text Box 6" o:spid="_x0000_s1027" type="#_x0000_t202" style="position:absolute;left:0;text-align:left;margin-left:427.05pt;margin-top:9.7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">
              <v:textbox>
                <w:txbxContent>
                  <w:p w14:paraId="17CB6DD7" w14:textId="77777777" w:rsidR="00F05EE0" w:rsidRDefault="00F05EE0" w:rsidP="00C76E94"/>
                </w:txbxContent>
              </v:textbox>
            </v:shape>
          </w:pict>
        </mc:Fallback>
      </mc:AlternateContent>
    </w:r>
  </w:p>
  <w:p w14:paraId="42DA48F4" w14:textId="77777777" w:rsidR="00F05EE0" w:rsidRDefault="00F05EE0" w:rsidP="00C76E94">
    <w:pPr>
      <w:pStyle w:val="Header"/>
      <w:jc w:val="center"/>
      <w:rPr>
        <w:rFonts w:ascii="Times New Roman" w:hAnsi="Times New Roman" w:cs="Times New Roman"/>
        <w:b/>
        <w:bCs/>
      </w:rPr>
    </w:pPr>
    <w:r>
      <w:rPr>
        <w:rFonts w:ascii="Times New Roman" w:hAnsi="Times New Roman" w:cs="Times New Roman"/>
        <w:b/>
        <w:bCs/>
      </w:rPr>
      <w:t>Internal Audit Compliance Checklist</w:t>
    </w:r>
  </w:p>
  <w:p w14:paraId="4B2D890A" w14:textId="77777777" w:rsidR="00F05EE0" w:rsidRDefault="00F05EE0" w:rsidP="00C76E94">
    <w:pPr>
      <w:pStyle w:val="Header"/>
      <w:jc w:val="center"/>
      <w:rPr>
        <w:rFonts w:ascii="Times New Roman" w:hAnsi="Times New Roman" w:cs="Times New Roman"/>
      </w:rPr>
    </w:pPr>
  </w:p>
  <w:p w14:paraId="2CEF1AA7" w14:textId="77777777" w:rsidR="00F05EE0" w:rsidRDefault="00F05EE0" w:rsidP="00C76E94">
    <w:pPr>
      <w:pStyle w:val="Header"/>
      <w:jc w:val="center"/>
      <w:rPr>
        <w:rFonts w:ascii="Times New Roman" w:hAnsi="Times New Roman" w:cs="Times New Roman"/>
        <w:b/>
        <w:bCs/>
      </w:rPr>
    </w:pPr>
    <w:r>
      <w:rPr>
        <w:rFonts w:ascii="Times New Roman" w:hAnsi="Times New Roman" w:cs="Times New Roman"/>
        <w:b/>
        <w:bCs/>
      </w:rPr>
      <w:t xml:space="preserve">ENTERTAINMENT </w:t>
    </w:r>
  </w:p>
  <w:p w14:paraId="6BDE4039" w14:textId="77777777" w:rsidR="00F05EE0" w:rsidRDefault="00F05EE0" w:rsidP="00C76E94">
    <w:pPr>
      <w:pStyle w:val="Header"/>
      <w:jc w:val="center"/>
      <w:rPr>
        <w:rFonts w:ascii="Times New Roman" w:hAnsi="Times New Roman" w:cs="Times New Roman"/>
        <w:b/>
        <w:bCs/>
      </w:rPr>
    </w:pPr>
    <w:r>
      <w:rPr>
        <w:rFonts w:ascii="Times New Roman" w:hAnsi="Times New Roman" w:cs="Times New Roman"/>
        <w:b/>
        <w:bCs/>
      </w:rPr>
      <w:t>TESTING PROCEDURES</w:t>
    </w:r>
  </w:p>
  <w:p w14:paraId="4852B674" w14:textId="77777777" w:rsidR="00F05EE0" w:rsidRDefault="00F05EE0" w:rsidP="00C76E94">
    <w:pPr>
      <w:jc w:val="center"/>
      <w:rPr>
        <w:rFonts w:ascii="Times New Roman" w:hAnsi="Times New Roman" w:cs="Times New Roma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F05EE0" w14:paraId="0A973FFF" w14:textId="77777777">
      <w:tc>
        <w:tcPr>
          <w:tcW w:w="1008" w:type="dxa"/>
          <w:tcBorders>
            <w:top w:val="nil"/>
            <w:left w:val="nil"/>
            <w:bottom w:val="nil"/>
            <w:right w:val="nil"/>
          </w:tcBorders>
        </w:tcPr>
        <w:p w14:paraId="282E61C6" w14:textId="77777777" w:rsidR="00F05EE0" w:rsidRDefault="00F05EE0" w:rsidP="00CD6AE2">
          <w:pPr>
            <w:rPr>
              <w:rFonts w:ascii="Times New Roman" w:hAnsi="Times New Roman" w:cs="Times New Roman"/>
            </w:rPr>
          </w:pPr>
          <w:r>
            <w:rPr>
              <w:rFonts w:ascii="Times New Roman" w:hAnsi="Times New Roman" w:cs="Times New Roman"/>
            </w:rPr>
            <w:t>Licensee:</w:t>
          </w:r>
        </w:p>
      </w:tc>
      <w:tc>
        <w:tcPr>
          <w:tcW w:w="3690" w:type="dxa"/>
          <w:tcBorders>
            <w:top w:val="nil"/>
            <w:left w:val="nil"/>
            <w:bottom w:val="single" w:sz="4" w:space="0" w:color="auto"/>
            <w:right w:val="nil"/>
          </w:tcBorders>
        </w:tcPr>
        <w:p w14:paraId="1669B669" w14:textId="77777777" w:rsidR="00F05EE0" w:rsidRDefault="00F05EE0" w:rsidP="00CD6AE2">
          <w:pPr>
            <w:jc w:val="center"/>
            <w:rPr>
              <w:rFonts w:ascii="Times New Roman" w:hAnsi="Times New Roman" w:cs="Times New Roman"/>
            </w:rPr>
          </w:pPr>
        </w:p>
      </w:tc>
      <w:tc>
        <w:tcPr>
          <w:tcW w:w="1530" w:type="dxa"/>
          <w:tcBorders>
            <w:top w:val="nil"/>
            <w:left w:val="nil"/>
            <w:bottom w:val="nil"/>
            <w:right w:val="nil"/>
          </w:tcBorders>
        </w:tcPr>
        <w:p w14:paraId="70878693" w14:textId="77777777" w:rsidR="00F05EE0" w:rsidRDefault="00F05EE0" w:rsidP="00CD6AE2">
          <w:pPr>
            <w:rPr>
              <w:rFonts w:ascii="Times New Roman" w:hAnsi="Times New Roman" w:cs="Times New Roman"/>
            </w:rPr>
          </w:pPr>
          <w:r>
            <w:rPr>
              <w:rFonts w:ascii="Times New Roman" w:hAnsi="Times New Roman" w:cs="Times New Roman"/>
            </w:rPr>
            <w:t>Review Period:</w:t>
          </w:r>
        </w:p>
      </w:tc>
      <w:tc>
        <w:tcPr>
          <w:tcW w:w="4788" w:type="dxa"/>
          <w:tcBorders>
            <w:top w:val="nil"/>
            <w:left w:val="nil"/>
            <w:bottom w:val="single" w:sz="4" w:space="0" w:color="auto"/>
            <w:right w:val="nil"/>
          </w:tcBorders>
        </w:tcPr>
        <w:p w14:paraId="1A42AA98" w14:textId="77777777" w:rsidR="00F05EE0" w:rsidRDefault="00F05EE0" w:rsidP="00CD6AE2">
          <w:pPr>
            <w:jc w:val="center"/>
            <w:rPr>
              <w:rFonts w:ascii="Times New Roman" w:hAnsi="Times New Roman" w:cs="Times New Roman"/>
            </w:rPr>
          </w:pPr>
        </w:p>
      </w:tc>
    </w:tr>
  </w:tbl>
  <w:p w14:paraId="677EC4A5" w14:textId="77777777" w:rsidR="00F05EE0" w:rsidRPr="00E72633" w:rsidRDefault="00F05EE0" w:rsidP="00E72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15:restartNumberingAfterBreak="0">
    <w:nsid w:val="0FBF4B33"/>
    <w:multiLevelType w:val="multilevel"/>
    <w:tmpl w:val="CD9A36E8"/>
    <w:lvl w:ilvl="0">
      <w:start w:val="1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 w15:restartNumberingAfterBreak="0">
    <w:nsid w:val="139E4DE6"/>
    <w:multiLevelType w:val="multilevel"/>
    <w:tmpl w:val="F0D8321A"/>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1AAE4E04"/>
    <w:multiLevelType w:val="multilevel"/>
    <w:tmpl w:val="CFC42462"/>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20B454C7"/>
    <w:multiLevelType w:val="multilevel"/>
    <w:tmpl w:val="37063C7E"/>
    <w:lvl w:ilvl="0">
      <w:start w:val="1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79F404F"/>
    <w:multiLevelType w:val="multilevel"/>
    <w:tmpl w:val="188867C2"/>
    <w:lvl w:ilvl="0">
      <w:start w:val="2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6" w15:restartNumberingAfterBreak="0">
    <w:nsid w:val="2F384159"/>
    <w:multiLevelType w:val="multilevel"/>
    <w:tmpl w:val="8B20EB2C"/>
    <w:lvl w:ilvl="0">
      <w:start w:val="1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33AE4B74"/>
    <w:multiLevelType w:val="multilevel"/>
    <w:tmpl w:val="90D4AD8A"/>
    <w:lvl w:ilvl="0">
      <w:start w:val="11"/>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8" w15:restartNumberingAfterBreak="0">
    <w:nsid w:val="3DEC4500"/>
    <w:multiLevelType w:val="multilevel"/>
    <w:tmpl w:val="52C4AEC6"/>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9" w15:restartNumberingAfterBreak="0">
    <w:nsid w:val="43B6635E"/>
    <w:multiLevelType w:val="multilevel"/>
    <w:tmpl w:val="635401F0"/>
    <w:lvl w:ilvl="0">
      <w:start w:val="1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4C324C92"/>
    <w:multiLevelType w:val="multilevel"/>
    <w:tmpl w:val="A5AEB38E"/>
    <w:lvl w:ilvl="0">
      <w:start w:val="1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4C35451A"/>
    <w:multiLevelType w:val="multilevel"/>
    <w:tmpl w:val="5CDCCE7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4C9A628C"/>
    <w:multiLevelType w:val="multilevel"/>
    <w:tmpl w:val="D62CCFB8"/>
    <w:lvl w:ilvl="0">
      <w:start w:val="2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3" w15:restartNumberingAfterBreak="0">
    <w:nsid w:val="4D1E414A"/>
    <w:multiLevelType w:val="multilevel"/>
    <w:tmpl w:val="6FB83E26"/>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4E350930"/>
    <w:multiLevelType w:val="multilevel"/>
    <w:tmpl w:val="5852B81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4F011E49"/>
    <w:multiLevelType w:val="hybridMultilevel"/>
    <w:tmpl w:val="28C441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330CA"/>
    <w:multiLevelType w:val="multilevel"/>
    <w:tmpl w:val="9DCE4E32"/>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7" w15:restartNumberingAfterBreak="0">
    <w:nsid w:val="5A790CC7"/>
    <w:multiLevelType w:val="multilevel"/>
    <w:tmpl w:val="73FC1F12"/>
    <w:lvl w:ilvl="0">
      <w:start w:val="7"/>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8" w15:restartNumberingAfterBreak="0">
    <w:nsid w:val="5BDB264E"/>
    <w:multiLevelType w:val="multilevel"/>
    <w:tmpl w:val="F692D910"/>
    <w:lvl w:ilvl="0">
      <w:start w:val="3"/>
      <w:numFmt w:val="lowerLetter"/>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9" w15:restartNumberingAfterBreak="0">
    <w:nsid w:val="5DA41B7C"/>
    <w:multiLevelType w:val="multilevel"/>
    <w:tmpl w:val="E7DC9CD8"/>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62CE4B9B"/>
    <w:multiLevelType w:val="hybridMultilevel"/>
    <w:tmpl w:val="8A24F092"/>
    <w:lvl w:ilvl="0" w:tplc="AC0CB7A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44571D9"/>
    <w:multiLevelType w:val="multilevel"/>
    <w:tmpl w:val="4BA09044"/>
    <w:lvl w:ilvl="0">
      <w:start w:val="5"/>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2"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72346B8"/>
    <w:multiLevelType w:val="multilevel"/>
    <w:tmpl w:val="C82CD4F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num w:numId="1">
    <w:abstractNumId w:val="0"/>
  </w:num>
  <w:num w:numId="2">
    <w:abstractNumId w:val="22"/>
  </w:num>
  <w:num w:numId="3">
    <w:abstractNumId w:val="14"/>
  </w:num>
  <w:num w:numId="4">
    <w:abstractNumId w:val="20"/>
  </w:num>
  <w:num w:numId="5">
    <w:abstractNumId w:val="15"/>
  </w:num>
  <w:num w:numId="6">
    <w:abstractNumId w:val="18"/>
  </w:num>
  <w:num w:numId="7">
    <w:abstractNumId w:val="21"/>
  </w:num>
  <w:num w:numId="8">
    <w:abstractNumId w:val="23"/>
  </w:num>
  <w:num w:numId="9">
    <w:abstractNumId w:val="9"/>
  </w:num>
  <w:num w:numId="10">
    <w:abstractNumId w:val="19"/>
  </w:num>
  <w:num w:numId="11">
    <w:abstractNumId w:val="10"/>
  </w:num>
  <w:num w:numId="12">
    <w:abstractNumId w:val="11"/>
  </w:num>
  <w:num w:numId="13">
    <w:abstractNumId w:val="6"/>
  </w:num>
  <w:num w:numId="14">
    <w:abstractNumId w:val="16"/>
  </w:num>
  <w:num w:numId="15">
    <w:abstractNumId w:val="3"/>
  </w:num>
  <w:num w:numId="16">
    <w:abstractNumId w:val="2"/>
  </w:num>
  <w:num w:numId="17">
    <w:abstractNumId w:val="4"/>
  </w:num>
  <w:num w:numId="18">
    <w:abstractNumId w:val="13"/>
  </w:num>
  <w:num w:numId="19">
    <w:abstractNumId w:val="12"/>
  </w:num>
  <w:num w:numId="20">
    <w:abstractNumId w:val="7"/>
  </w:num>
  <w:num w:numId="21">
    <w:abstractNumId w:val="17"/>
  </w:num>
  <w:num w:numId="22">
    <w:abstractNumId w:val="5"/>
  </w:num>
  <w:num w:numId="23">
    <w:abstractNumId w:val="8"/>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51"/>
    <w:rsid w:val="000078DD"/>
    <w:rsid w:val="00020C1E"/>
    <w:rsid w:val="00021119"/>
    <w:rsid w:val="00032A33"/>
    <w:rsid w:val="000434F8"/>
    <w:rsid w:val="00046F1E"/>
    <w:rsid w:val="00054F5D"/>
    <w:rsid w:val="00071009"/>
    <w:rsid w:val="00073796"/>
    <w:rsid w:val="00073F28"/>
    <w:rsid w:val="0007589D"/>
    <w:rsid w:val="000776FD"/>
    <w:rsid w:val="00077FBA"/>
    <w:rsid w:val="0008072D"/>
    <w:rsid w:val="000840A4"/>
    <w:rsid w:val="00085A2D"/>
    <w:rsid w:val="000969F3"/>
    <w:rsid w:val="000A5437"/>
    <w:rsid w:val="000A5A3B"/>
    <w:rsid w:val="000B16E7"/>
    <w:rsid w:val="000B4A51"/>
    <w:rsid w:val="000B551D"/>
    <w:rsid w:val="000C4CBE"/>
    <w:rsid w:val="000C74F1"/>
    <w:rsid w:val="000D45BF"/>
    <w:rsid w:val="000D494C"/>
    <w:rsid w:val="000F0551"/>
    <w:rsid w:val="000F2097"/>
    <w:rsid w:val="000F4CB3"/>
    <w:rsid w:val="00104782"/>
    <w:rsid w:val="00104BB5"/>
    <w:rsid w:val="001124A2"/>
    <w:rsid w:val="001154D1"/>
    <w:rsid w:val="00130E45"/>
    <w:rsid w:val="00136180"/>
    <w:rsid w:val="00145FB9"/>
    <w:rsid w:val="00150A5B"/>
    <w:rsid w:val="00160BE0"/>
    <w:rsid w:val="00161285"/>
    <w:rsid w:val="001729B2"/>
    <w:rsid w:val="00175F7C"/>
    <w:rsid w:val="00185503"/>
    <w:rsid w:val="001875CA"/>
    <w:rsid w:val="001937EB"/>
    <w:rsid w:val="001975F1"/>
    <w:rsid w:val="001A2851"/>
    <w:rsid w:val="001B4002"/>
    <w:rsid w:val="001B6020"/>
    <w:rsid w:val="001C7AAE"/>
    <w:rsid w:val="001D0C8D"/>
    <w:rsid w:val="001D2F87"/>
    <w:rsid w:val="001F3D41"/>
    <w:rsid w:val="001F5096"/>
    <w:rsid w:val="001F6DDE"/>
    <w:rsid w:val="00215B31"/>
    <w:rsid w:val="00223FC5"/>
    <w:rsid w:val="0022657A"/>
    <w:rsid w:val="00226591"/>
    <w:rsid w:val="00226FCE"/>
    <w:rsid w:val="002364B3"/>
    <w:rsid w:val="0024072B"/>
    <w:rsid w:val="00242132"/>
    <w:rsid w:val="00245B75"/>
    <w:rsid w:val="00250CFF"/>
    <w:rsid w:val="00251E85"/>
    <w:rsid w:val="00260BC2"/>
    <w:rsid w:val="0027120F"/>
    <w:rsid w:val="0027551E"/>
    <w:rsid w:val="002768CC"/>
    <w:rsid w:val="00277DE9"/>
    <w:rsid w:val="00280D23"/>
    <w:rsid w:val="00292C22"/>
    <w:rsid w:val="00295EF9"/>
    <w:rsid w:val="00297BD8"/>
    <w:rsid w:val="002A601E"/>
    <w:rsid w:val="002A6791"/>
    <w:rsid w:val="002B1038"/>
    <w:rsid w:val="002B3845"/>
    <w:rsid w:val="002C30AC"/>
    <w:rsid w:val="002C53F8"/>
    <w:rsid w:val="002D0E6E"/>
    <w:rsid w:val="002E1AE3"/>
    <w:rsid w:val="002E1B74"/>
    <w:rsid w:val="002E1CE1"/>
    <w:rsid w:val="002E7B5B"/>
    <w:rsid w:val="002F3FA5"/>
    <w:rsid w:val="002F646F"/>
    <w:rsid w:val="00304618"/>
    <w:rsid w:val="00306E4D"/>
    <w:rsid w:val="00310662"/>
    <w:rsid w:val="00314887"/>
    <w:rsid w:val="00314FF8"/>
    <w:rsid w:val="00322F5D"/>
    <w:rsid w:val="003238E4"/>
    <w:rsid w:val="00333B77"/>
    <w:rsid w:val="00335262"/>
    <w:rsid w:val="0034685B"/>
    <w:rsid w:val="003468C5"/>
    <w:rsid w:val="00346D96"/>
    <w:rsid w:val="00351010"/>
    <w:rsid w:val="00351224"/>
    <w:rsid w:val="00352707"/>
    <w:rsid w:val="00353485"/>
    <w:rsid w:val="00360927"/>
    <w:rsid w:val="00360FE9"/>
    <w:rsid w:val="00362158"/>
    <w:rsid w:val="003679D3"/>
    <w:rsid w:val="0037136A"/>
    <w:rsid w:val="003725EB"/>
    <w:rsid w:val="003742DA"/>
    <w:rsid w:val="00374F93"/>
    <w:rsid w:val="00381F77"/>
    <w:rsid w:val="0038257F"/>
    <w:rsid w:val="00394410"/>
    <w:rsid w:val="003A50BA"/>
    <w:rsid w:val="003B1D0C"/>
    <w:rsid w:val="003B7A7E"/>
    <w:rsid w:val="003C53A3"/>
    <w:rsid w:val="003D45AF"/>
    <w:rsid w:val="003E38AD"/>
    <w:rsid w:val="003F0EE4"/>
    <w:rsid w:val="003F23A5"/>
    <w:rsid w:val="003F2EFE"/>
    <w:rsid w:val="0040124A"/>
    <w:rsid w:val="00401A06"/>
    <w:rsid w:val="00421A1F"/>
    <w:rsid w:val="00427EEF"/>
    <w:rsid w:val="00431401"/>
    <w:rsid w:val="004316F6"/>
    <w:rsid w:val="004325A1"/>
    <w:rsid w:val="00433A12"/>
    <w:rsid w:val="00434DD8"/>
    <w:rsid w:val="004418B1"/>
    <w:rsid w:val="00454D74"/>
    <w:rsid w:val="00465384"/>
    <w:rsid w:val="00465E54"/>
    <w:rsid w:val="00475402"/>
    <w:rsid w:val="00475C95"/>
    <w:rsid w:val="00482B94"/>
    <w:rsid w:val="00493715"/>
    <w:rsid w:val="004A1442"/>
    <w:rsid w:val="004B4740"/>
    <w:rsid w:val="004B55C7"/>
    <w:rsid w:val="004B7182"/>
    <w:rsid w:val="004C1E84"/>
    <w:rsid w:val="004C28AA"/>
    <w:rsid w:val="004E2642"/>
    <w:rsid w:val="004E5BED"/>
    <w:rsid w:val="004E7589"/>
    <w:rsid w:val="004F3F3D"/>
    <w:rsid w:val="004F6B01"/>
    <w:rsid w:val="004F6E40"/>
    <w:rsid w:val="0050482A"/>
    <w:rsid w:val="0050610C"/>
    <w:rsid w:val="00507865"/>
    <w:rsid w:val="00510F52"/>
    <w:rsid w:val="00514017"/>
    <w:rsid w:val="005168D5"/>
    <w:rsid w:val="00521446"/>
    <w:rsid w:val="0052191D"/>
    <w:rsid w:val="00533B0A"/>
    <w:rsid w:val="005432C3"/>
    <w:rsid w:val="00544097"/>
    <w:rsid w:val="00546AC1"/>
    <w:rsid w:val="005545C9"/>
    <w:rsid w:val="00555EF2"/>
    <w:rsid w:val="00557A87"/>
    <w:rsid w:val="00571059"/>
    <w:rsid w:val="00571A4F"/>
    <w:rsid w:val="00576401"/>
    <w:rsid w:val="005931F2"/>
    <w:rsid w:val="005A4A97"/>
    <w:rsid w:val="005B6AC0"/>
    <w:rsid w:val="005C3C0A"/>
    <w:rsid w:val="005C6CF9"/>
    <w:rsid w:val="005D7EBD"/>
    <w:rsid w:val="005E1428"/>
    <w:rsid w:val="0060598B"/>
    <w:rsid w:val="00606691"/>
    <w:rsid w:val="00611835"/>
    <w:rsid w:val="00613007"/>
    <w:rsid w:val="00622D31"/>
    <w:rsid w:val="0062459C"/>
    <w:rsid w:val="006329AC"/>
    <w:rsid w:val="00633CAD"/>
    <w:rsid w:val="006402AD"/>
    <w:rsid w:val="00645BD3"/>
    <w:rsid w:val="00654B04"/>
    <w:rsid w:val="0065519E"/>
    <w:rsid w:val="00660EDF"/>
    <w:rsid w:val="0066589F"/>
    <w:rsid w:val="00680A5C"/>
    <w:rsid w:val="006A1C82"/>
    <w:rsid w:val="006D0A6F"/>
    <w:rsid w:val="006D1339"/>
    <w:rsid w:val="006E245E"/>
    <w:rsid w:val="006E526F"/>
    <w:rsid w:val="006E673F"/>
    <w:rsid w:val="006E7CDE"/>
    <w:rsid w:val="006F2AF8"/>
    <w:rsid w:val="006F4FEB"/>
    <w:rsid w:val="007101BA"/>
    <w:rsid w:val="00714D6C"/>
    <w:rsid w:val="00721A58"/>
    <w:rsid w:val="00725EEF"/>
    <w:rsid w:val="00735784"/>
    <w:rsid w:val="00742123"/>
    <w:rsid w:val="00742B92"/>
    <w:rsid w:val="00743901"/>
    <w:rsid w:val="007456AA"/>
    <w:rsid w:val="00745DA2"/>
    <w:rsid w:val="00762332"/>
    <w:rsid w:val="007711D8"/>
    <w:rsid w:val="00771373"/>
    <w:rsid w:val="0077352C"/>
    <w:rsid w:val="007809A9"/>
    <w:rsid w:val="0078174D"/>
    <w:rsid w:val="00782B76"/>
    <w:rsid w:val="007830EF"/>
    <w:rsid w:val="007860EF"/>
    <w:rsid w:val="007912EB"/>
    <w:rsid w:val="00797458"/>
    <w:rsid w:val="007A218C"/>
    <w:rsid w:val="007B742F"/>
    <w:rsid w:val="007C1089"/>
    <w:rsid w:val="007C330E"/>
    <w:rsid w:val="007C7E87"/>
    <w:rsid w:val="007D7BC1"/>
    <w:rsid w:val="007D7D20"/>
    <w:rsid w:val="007E2A66"/>
    <w:rsid w:val="007E4A3C"/>
    <w:rsid w:val="007F578F"/>
    <w:rsid w:val="007F5AF7"/>
    <w:rsid w:val="007F62D5"/>
    <w:rsid w:val="007F7B89"/>
    <w:rsid w:val="00820677"/>
    <w:rsid w:val="00835A63"/>
    <w:rsid w:val="008375C8"/>
    <w:rsid w:val="00840FE3"/>
    <w:rsid w:val="00844104"/>
    <w:rsid w:val="00846377"/>
    <w:rsid w:val="00847437"/>
    <w:rsid w:val="008477AB"/>
    <w:rsid w:val="00851C4C"/>
    <w:rsid w:val="008528A5"/>
    <w:rsid w:val="00855647"/>
    <w:rsid w:val="00860877"/>
    <w:rsid w:val="00862B57"/>
    <w:rsid w:val="00880F88"/>
    <w:rsid w:val="008815BF"/>
    <w:rsid w:val="008829C7"/>
    <w:rsid w:val="0088461B"/>
    <w:rsid w:val="00890D79"/>
    <w:rsid w:val="0089160D"/>
    <w:rsid w:val="008923DD"/>
    <w:rsid w:val="008928DF"/>
    <w:rsid w:val="008A5564"/>
    <w:rsid w:val="008B6A8C"/>
    <w:rsid w:val="008D0000"/>
    <w:rsid w:val="008E3C02"/>
    <w:rsid w:val="008E6D49"/>
    <w:rsid w:val="0090139C"/>
    <w:rsid w:val="00907E4D"/>
    <w:rsid w:val="00912F1D"/>
    <w:rsid w:val="00917053"/>
    <w:rsid w:val="009263DD"/>
    <w:rsid w:val="00931E87"/>
    <w:rsid w:val="009339AA"/>
    <w:rsid w:val="009418E4"/>
    <w:rsid w:val="00941DDB"/>
    <w:rsid w:val="00942F6F"/>
    <w:rsid w:val="0094395D"/>
    <w:rsid w:val="00950835"/>
    <w:rsid w:val="009604AD"/>
    <w:rsid w:val="00985C7F"/>
    <w:rsid w:val="00991B40"/>
    <w:rsid w:val="009945D3"/>
    <w:rsid w:val="00995994"/>
    <w:rsid w:val="009B1CCB"/>
    <w:rsid w:val="009C0A96"/>
    <w:rsid w:val="009C3A35"/>
    <w:rsid w:val="009D46D8"/>
    <w:rsid w:val="009D703B"/>
    <w:rsid w:val="009E3804"/>
    <w:rsid w:val="009E4E70"/>
    <w:rsid w:val="009E5EAD"/>
    <w:rsid w:val="009F1F4A"/>
    <w:rsid w:val="009F5365"/>
    <w:rsid w:val="00A00084"/>
    <w:rsid w:val="00A0515D"/>
    <w:rsid w:val="00A0729E"/>
    <w:rsid w:val="00A10B98"/>
    <w:rsid w:val="00A167C9"/>
    <w:rsid w:val="00A2630D"/>
    <w:rsid w:val="00A34665"/>
    <w:rsid w:val="00A3760F"/>
    <w:rsid w:val="00A50785"/>
    <w:rsid w:val="00A54AF1"/>
    <w:rsid w:val="00A81573"/>
    <w:rsid w:val="00A81ECA"/>
    <w:rsid w:val="00A82A52"/>
    <w:rsid w:val="00A959A7"/>
    <w:rsid w:val="00A96785"/>
    <w:rsid w:val="00AA7CF5"/>
    <w:rsid w:val="00AB43B0"/>
    <w:rsid w:val="00AB7063"/>
    <w:rsid w:val="00AC192A"/>
    <w:rsid w:val="00AC1EC1"/>
    <w:rsid w:val="00AD4717"/>
    <w:rsid w:val="00AD743B"/>
    <w:rsid w:val="00AE1DCB"/>
    <w:rsid w:val="00AE601A"/>
    <w:rsid w:val="00AF2591"/>
    <w:rsid w:val="00B13047"/>
    <w:rsid w:val="00B30537"/>
    <w:rsid w:val="00B346E7"/>
    <w:rsid w:val="00B369DA"/>
    <w:rsid w:val="00B36A25"/>
    <w:rsid w:val="00B724BF"/>
    <w:rsid w:val="00B725B2"/>
    <w:rsid w:val="00B7399E"/>
    <w:rsid w:val="00B766C1"/>
    <w:rsid w:val="00B85C5A"/>
    <w:rsid w:val="00B87AB4"/>
    <w:rsid w:val="00B947F6"/>
    <w:rsid w:val="00B97399"/>
    <w:rsid w:val="00BA6E40"/>
    <w:rsid w:val="00BB0005"/>
    <w:rsid w:val="00BB198C"/>
    <w:rsid w:val="00BB46DB"/>
    <w:rsid w:val="00BC33CF"/>
    <w:rsid w:val="00BE07E1"/>
    <w:rsid w:val="00BE12A0"/>
    <w:rsid w:val="00BF071D"/>
    <w:rsid w:val="00BF1554"/>
    <w:rsid w:val="00BF2F49"/>
    <w:rsid w:val="00C11D8E"/>
    <w:rsid w:val="00C22816"/>
    <w:rsid w:val="00C263C7"/>
    <w:rsid w:val="00C33E78"/>
    <w:rsid w:val="00C664D7"/>
    <w:rsid w:val="00C7277E"/>
    <w:rsid w:val="00C76E59"/>
    <w:rsid w:val="00C76E94"/>
    <w:rsid w:val="00C86613"/>
    <w:rsid w:val="00C906E8"/>
    <w:rsid w:val="00C97629"/>
    <w:rsid w:val="00C97B4E"/>
    <w:rsid w:val="00CA3A0A"/>
    <w:rsid w:val="00CA4FA8"/>
    <w:rsid w:val="00CA6293"/>
    <w:rsid w:val="00CA6C2E"/>
    <w:rsid w:val="00CB0384"/>
    <w:rsid w:val="00CC49E3"/>
    <w:rsid w:val="00CC5A1E"/>
    <w:rsid w:val="00CD6AE2"/>
    <w:rsid w:val="00CD70FD"/>
    <w:rsid w:val="00CE3F60"/>
    <w:rsid w:val="00CE5525"/>
    <w:rsid w:val="00CE72BB"/>
    <w:rsid w:val="00D01C06"/>
    <w:rsid w:val="00D01E5B"/>
    <w:rsid w:val="00D02B98"/>
    <w:rsid w:val="00D03591"/>
    <w:rsid w:val="00D059E0"/>
    <w:rsid w:val="00D232D5"/>
    <w:rsid w:val="00D34980"/>
    <w:rsid w:val="00D35E4D"/>
    <w:rsid w:val="00D443B9"/>
    <w:rsid w:val="00D5194D"/>
    <w:rsid w:val="00D557EA"/>
    <w:rsid w:val="00D633B0"/>
    <w:rsid w:val="00D63E99"/>
    <w:rsid w:val="00D64CEE"/>
    <w:rsid w:val="00D676E3"/>
    <w:rsid w:val="00D67DD4"/>
    <w:rsid w:val="00D777AA"/>
    <w:rsid w:val="00D810EE"/>
    <w:rsid w:val="00D9232A"/>
    <w:rsid w:val="00D94E3E"/>
    <w:rsid w:val="00DA4443"/>
    <w:rsid w:val="00DA5778"/>
    <w:rsid w:val="00DB15E8"/>
    <w:rsid w:val="00DB1BA8"/>
    <w:rsid w:val="00DB72AF"/>
    <w:rsid w:val="00DD6E89"/>
    <w:rsid w:val="00DE3F42"/>
    <w:rsid w:val="00DF4EC2"/>
    <w:rsid w:val="00E01049"/>
    <w:rsid w:val="00E02DD5"/>
    <w:rsid w:val="00E0795A"/>
    <w:rsid w:val="00E1026B"/>
    <w:rsid w:val="00E11963"/>
    <w:rsid w:val="00E1293E"/>
    <w:rsid w:val="00E15A60"/>
    <w:rsid w:val="00E23C81"/>
    <w:rsid w:val="00E25F23"/>
    <w:rsid w:val="00E303A0"/>
    <w:rsid w:val="00E350E4"/>
    <w:rsid w:val="00E36B52"/>
    <w:rsid w:val="00E370A9"/>
    <w:rsid w:val="00E421D8"/>
    <w:rsid w:val="00E42FC5"/>
    <w:rsid w:val="00E5010B"/>
    <w:rsid w:val="00E50A78"/>
    <w:rsid w:val="00E62E61"/>
    <w:rsid w:val="00E72633"/>
    <w:rsid w:val="00E72BB6"/>
    <w:rsid w:val="00E818DA"/>
    <w:rsid w:val="00E87FAA"/>
    <w:rsid w:val="00E911BA"/>
    <w:rsid w:val="00E91271"/>
    <w:rsid w:val="00E95DEF"/>
    <w:rsid w:val="00EA4772"/>
    <w:rsid w:val="00EA4DD8"/>
    <w:rsid w:val="00EA6CF6"/>
    <w:rsid w:val="00EB1D68"/>
    <w:rsid w:val="00EB1F1A"/>
    <w:rsid w:val="00EB1F3C"/>
    <w:rsid w:val="00EC4E8E"/>
    <w:rsid w:val="00EC7182"/>
    <w:rsid w:val="00ED3A07"/>
    <w:rsid w:val="00ED5535"/>
    <w:rsid w:val="00ED7BAD"/>
    <w:rsid w:val="00EE3CF0"/>
    <w:rsid w:val="00EF204F"/>
    <w:rsid w:val="00F0217C"/>
    <w:rsid w:val="00F05EE0"/>
    <w:rsid w:val="00F12B8E"/>
    <w:rsid w:val="00F1763C"/>
    <w:rsid w:val="00F17CA0"/>
    <w:rsid w:val="00F20395"/>
    <w:rsid w:val="00F2054B"/>
    <w:rsid w:val="00F23D92"/>
    <w:rsid w:val="00F255C1"/>
    <w:rsid w:val="00F30867"/>
    <w:rsid w:val="00F31D74"/>
    <w:rsid w:val="00F40991"/>
    <w:rsid w:val="00F46F30"/>
    <w:rsid w:val="00F5147F"/>
    <w:rsid w:val="00F52911"/>
    <w:rsid w:val="00F639A9"/>
    <w:rsid w:val="00F77840"/>
    <w:rsid w:val="00F8464E"/>
    <w:rsid w:val="00F84E12"/>
    <w:rsid w:val="00F92B7F"/>
    <w:rsid w:val="00F94AD8"/>
    <w:rsid w:val="00F9641E"/>
    <w:rsid w:val="00F97A5B"/>
    <w:rsid w:val="00FA6A33"/>
    <w:rsid w:val="00FA6FBE"/>
    <w:rsid w:val="00FA78C8"/>
    <w:rsid w:val="00FB0498"/>
    <w:rsid w:val="00FD164F"/>
    <w:rsid w:val="00FD28BA"/>
    <w:rsid w:val="00FD4D39"/>
    <w:rsid w:val="00FE131B"/>
    <w:rsid w:val="00FE21F5"/>
    <w:rsid w:val="00FE3264"/>
    <w:rsid w:val="00FF1D8B"/>
    <w:rsid w:val="00FF458D"/>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BDE56B9"/>
  <w15:chartTrackingRefBased/>
  <w15:docId w15:val="{B1934C86-ABED-4C80-B1F9-8D381679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numPr>
        <w:numId w:val="1"/>
      </w:numPr>
      <w:spacing w:before="240" w:after="60"/>
      <w:outlineLvl w:val="0"/>
    </w:pPr>
    <w:rPr>
      <w:b/>
      <w:bCs/>
      <w:kern w:val="28"/>
      <w:sz w:val="28"/>
      <w:szCs w:val="28"/>
    </w:rPr>
  </w:style>
  <w:style w:type="paragraph" w:styleId="Heading2">
    <w:name w:val="heading 2"/>
    <w:basedOn w:val="Normal"/>
    <w:next w:val="Normal"/>
    <w:qFormat/>
    <w:pPr>
      <w:keepNext/>
      <w:numPr>
        <w:ilvl w:val="1"/>
        <w:numId w:val="1"/>
      </w:numPr>
      <w:spacing w:before="240" w:after="60"/>
      <w:outlineLvl w:val="1"/>
    </w:pPr>
    <w:rPr>
      <w:b/>
      <w:bCs/>
      <w:i/>
      <w:iCs/>
      <w:sz w:val="24"/>
      <w:szCs w:val="24"/>
    </w:rPr>
  </w:style>
  <w:style w:type="paragraph" w:styleId="Heading3">
    <w:name w:val="heading 3"/>
    <w:basedOn w:val="Normal"/>
    <w:next w:val="Normal"/>
    <w:qFormat/>
    <w:pPr>
      <w:keepNext/>
      <w:numPr>
        <w:ilvl w:val="2"/>
        <w:numId w:val="1"/>
      </w:numPr>
      <w:spacing w:before="240" w:after="60"/>
      <w:outlineLvl w:val="2"/>
    </w:pPr>
    <w:rPr>
      <w:sz w:val="24"/>
      <w:szCs w:val="24"/>
    </w:rPr>
  </w:style>
  <w:style w:type="paragraph" w:styleId="Heading4">
    <w:name w:val="heading 4"/>
    <w:basedOn w:val="Normal"/>
    <w:next w:val="Normal"/>
    <w:qFormat/>
    <w:pPr>
      <w:keepNext/>
      <w:numPr>
        <w:ilvl w:val="3"/>
        <w:numId w:val="1"/>
      </w:numPr>
      <w:spacing w:before="240" w:after="60"/>
      <w:outlineLvl w:val="3"/>
    </w:pPr>
    <w:rPr>
      <w:b/>
      <w:bCs/>
      <w:sz w:val="24"/>
      <w:szCs w:val="24"/>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ascii="Times New Roman" w:hAnsi="Times New Roman" w:cs="Times New Roman"/>
    </w:rPr>
  </w:style>
  <w:style w:type="paragraph" w:styleId="List2">
    <w:name w:val="List 2"/>
    <w:basedOn w:val="Normal"/>
    <w:pPr>
      <w:ind w:left="720" w:hanging="360"/>
    </w:pPr>
    <w:rPr>
      <w:rFonts w:ascii="Times New Roman" w:hAnsi="Times New Roman" w:cs="Times New Roman"/>
    </w:rPr>
  </w:style>
  <w:style w:type="character" w:styleId="PageNumber">
    <w:name w:val="page number"/>
    <w:basedOn w:val="DefaultParagraphFont"/>
  </w:style>
  <w:style w:type="paragraph" w:customStyle="1" w:styleId="indent">
    <w:name w:val="indent"/>
    <w:basedOn w:val="Normal"/>
    <w:pPr>
      <w:ind w:left="216" w:right="216"/>
    </w:pPr>
    <w:rPr>
      <w:rFonts w:ascii="Times New Roman" w:hAnsi="Times New Roman" w:cs="Times New Roman"/>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ANDBOOK-NORMAL">
    <w:name w:val="HANDBOOK-NORMAL"/>
    <w:basedOn w:val="Normal"/>
    <w:pPr>
      <w:tabs>
        <w:tab w:val="left" w:pos="1440"/>
        <w:tab w:val="left" w:pos="2880"/>
        <w:tab w:val="left" w:pos="4320"/>
        <w:tab w:val="left" w:pos="5760"/>
        <w:tab w:val="left" w:pos="7200"/>
        <w:tab w:val="left" w:pos="8640"/>
      </w:tabs>
    </w:pPr>
    <w:rPr>
      <w:rFonts w:ascii="Times New Roman" w:hAnsi="Times New Roman" w:cs="Times New Roman"/>
    </w:rPr>
  </w:style>
  <w:style w:type="paragraph" w:styleId="List3">
    <w:name w:val="List 3"/>
    <w:basedOn w:val="Normal"/>
    <w:pPr>
      <w:ind w:left="1080" w:hanging="360"/>
    </w:pPr>
    <w:rPr>
      <w:rFonts w:ascii="Times New Roman" w:hAnsi="Times New Roman" w:cs="Times New Roman"/>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BodyText">
    <w:name w:val="Body Text"/>
    <w:basedOn w:val="Normal"/>
    <w:rPr>
      <w:rFonts w:ascii="Times New Roman" w:hAnsi="Times New Roman" w:cs="Times New Roman"/>
      <w:sz w:val="24"/>
      <w:szCs w:val="24"/>
    </w:rPr>
  </w:style>
  <w:style w:type="paragraph" w:styleId="BodyTextIndent">
    <w:name w:val="Body Text Indent"/>
    <w:basedOn w:val="Normal"/>
    <w:pPr>
      <w:autoSpaceDE/>
      <w:autoSpaceDN/>
    </w:pPr>
    <w:rPr>
      <w:rFonts w:ascii="Times New Roman" w:hAnsi="Times New Roman" w:cs="Times New Roman"/>
      <w:sz w:val="16"/>
      <w:szCs w:val="16"/>
    </w:rPr>
  </w:style>
  <w:style w:type="paragraph" w:styleId="BodyText2">
    <w:name w:val="Body Text 2"/>
    <w:basedOn w:val="Normal"/>
    <w:pPr>
      <w:tabs>
        <w:tab w:val="right" w:pos="9504"/>
      </w:tabs>
      <w:overflowPunct w:val="0"/>
      <w:adjustRightInd w:val="0"/>
      <w:spacing w:line="240" w:lineRule="atLeast"/>
      <w:ind w:left="360" w:hanging="360"/>
      <w:textAlignment w:val="baseline"/>
    </w:pPr>
    <w:rPr>
      <w:rFonts w:ascii="Times New Roman" w:hAnsi="Times New Roman" w:cs="Times New Roman"/>
      <w:noProof/>
      <w:sz w:val="22"/>
    </w:rPr>
  </w:style>
  <w:style w:type="paragraph" w:styleId="BodyTextIndent2">
    <w:name w:val="Body Text Indent 2"/>
    <w:basedOn w:val="Normal"/>
    <w:pPr>
      <w:tabs>
        <w:tab w:val="right" w:pos="9504"/>
      </w:tabs>
      <w:overflowPunct w:val="0"/>
      <w:adjustRightInd w:val="0"/>
      <w:spacing w:line="240" w:lineRule="atLeast"/>
      <w:ind w:left="1080" w:hanging="1080"/>
      <w:textAlignment w:val="baseline"/>
    </w:pPr>
    <w:rPr>
      <w:rFonts w:ascii="Times New Roman" w:hAnsi="Times New Roman" w:cs="Times New Roman"/>
      <w:noProof/>
      <w:sz w:val="22"/>
    </w:rPr>
  </w:style>
  <w:style w:type="paragraph" w:styleId="BodyTextIndent3">
    <w:name w:val="Body Text Indent 3"/>
    <w:basedOn w:val="Normal"/>
    <w:pPr>
      <w:tabs>
        <w:tab w:val="right" w:pos="9504"/>
      </w:tabs>
      <w:overflowPunct w:val="0"/>
      <w:adjustRightInd w:val="0"/>
      <w:spacing w:line="240" w:lineRule="atLeast"/>
      <w:ind w:left="1080" w:hanging="360"/>
      <w:textAlignment w:val="baseline"/>
    </w:pPr>
    <w:rPr>
      <w:rFonts w:ascii="Times New Roman" w:hAnsi="Times New Roman" w:cs="Times New Roman"/>
      <w:noProof/>
      <w:sz w:val="22"/>
    </w:rPr>
  </w:style>
  <w:style w:type="paragraph" w:styleId="BlockText">
    <w:name w:val="Block Text"/>
    <w:basedOn w:val="Normal"/>
    <w:pPr>
      <w:tabs>
        <w:tab w:val="left" w:pos="360"/>
      </w:tabs>
      <w:overflowPunct w:val="0"/>
      <w:adjustRightInd w:val="0"/>
      <w:spacing w:line="240" w:lineRule="atLeast"/>
      <w:ind w:left="360" w:right="-126" w:hanging="360"/>
      <w:textAlignment w:val="baseline"/>
    </w:pPr>
    <w:rPr>
      <w:rFonts w:ascii="Times New Roman" w:hAnsi="Times New Roman" w:cs="Times New Roman"/>
      <w:noProof/>
      <w:sz w:val="22"/>
    </w:rPr>
  </w:style>
  <w:style w:type="paragraph" w:styleId="BalloonText">
    <w:name w:val="Balloon Text"/>
    <w:basedOn w:val="Normal"/>
    <w:link w:val="BalloonTextChar"/>
    <w:uiPriority w:val="99"/>
    <w:semiHidden/>
    <w:unhideWhenUsed/>
    <w:rsid w:val="00CC49E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C49E3"/>
    <w:rPr>
      <w:rFonts w:ascii="Tahoma" w:hAnsi="Tahoma" w:cs="Tahoma"/>
      <w:sz w:val="16"/>
      <w:szCs w:val="16"/>
    </w:rPr>
  </w:style>
  <w:style w:type="paragraph" w:styleId="NoSpacing">
    <w:name w:val="No Spacing"/>
    <w:uiPriority w:val="1"/>
    <w:qFormat/>
    <w:rsid w:val="00ED5535"/>
    <w:rPr>
      <w:rFonts w:ascii="Calibri" w:eastAsia="Calibri" w:hAnsi="Calibri"/>
      <w:sz w:val="22"/>
      <w:szCs w:val="22"/>
    </w:rPr>
  </w:style>
  <w:style w:type="character" w:customStyle="1" w:styleId="HeaderChar">
    <w:name w:val="Header Char"/>
    <w:link w:val="Header"/>
    <w:rsid w:val="006329AC"/>
    <w:rPr>
      <w:rFonts w:ascii="Arial" w:hAnsi="Arial" w:cs="Arial"/>
    </w:rPr>
  </w:style>
  <w:style w:type="paragraph" w:styleId="ListParagraph">
    <w:name w:val="List Paragraph"/>
    <w:basedOn w:val="Normal"/>
    <w:uiPriority w:val="34"/>
    <w:qFormat/>
    <w:rsid w:val="00AB7063"/>
    <w:pPr>
      <w:overflowPunct w:val="0"/>
      <w:adjustRightInd w:val="0"/>
      <w:ind w:left="720"/>
      <w:contextualSpacing/>
      <w:textAlignment w:val="baseline"/>
    </w:pPr>
    <w:rPr>
      <w:rFonts w:ascii="Times New Roman" w:hAnsi="Times New Roman" w:cs="Times New Roman"/>
    </w:rPr>
  </w:style>
  <w:style w:type="table" w:styleId="TableGrid">
    <w:name w:val="Table Grid"/>
    <w:basedOn w:val="TableNormal"/>
    <w:uiPriority w:val="59"/>
    <w:rsid w:val="00AB70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A218C"/>
    <w:rPr>
      <w:sz w:val="16"/>
      <w:szCs w:val="16"/>
    </w:rPr>
  </w:style>
  <w:style w:type="paragraph" w:styleId="CommentText">
    <w:name w:val="annotation text"/>
    <w:basedOn w:val="Normal"/>
    <w:link w:val="CommentTextChar"/>
    <w:uiPriority w:val="99"/>
    <w:semiHidden/>
    <w:unhideWhenUsed/>
    <w:rsid w:val="007A218C"/>
  </w:style>
  <w:style w:type="character" w:customStyle="1" w:styleId="CommentTextChar">
    <w:name w:val="Comment Text Char"/>
    <w:link w:val="CommentText"/>
    <w:uiPriority w:val="99"/>
    <w:semiHidden/>
    <w:rsid w:val="007A218C"/>
    <w:rPr>
      <w:rFonts w:ascii="Arial" w:hAnsi="Arial" w:cs="Arial"/>
    </w:rPr>
  </w:style>
  <w:style w:type="paragraph" w:styleId="CommentSubject">
    <w:name w:val="annotation subject"/>
    <w:basedOn w:val="CommentText"/>
    <w:next w:val="CommentText"/>
    <w:link w:val="CommentSubjectChar"/>
    <w:uiPriority w:val="99"/>
    <w:semiHidden/>
    <w:unhideWhenUsed/>
    <w:rsid w:val="000840A4"/>
    <w:rPr>
      <w:b/>
      <w:bCs/>
    </w:rPr>
  </w:style>
  <w:style w:type="character" w:customStyle="1" w:styleId="CommentSubjectChar">
    <w:name w:val="Comment Subject Char"/>
    <w:link w:val="CommentSubject"/>
    <w:uiPriority w:val="99"/>
    <w:semiHidden/>
    <w:rsid w:val="000840A4"/>
    <w:rPr>
      <w:rFonts w:ascii="Arial" w:hAnsi="Arial" w:cs="Arial"/>
      <w:b/>
      <w:bCs/>
    </w:rPr>
  </w:style>
  <w:style w:type="character" w:styleId="LineNumber">
    <w:name w:val="line number"/>
    <w:basedOn w:val="DefaultParagraphFont"/>
    <w:uiPriority w:val="99"/>
    <w:semiHidden/>
    <w:unhideWhenUsed/>
    <w:rsid w:val="002B3845"/>
  </w:style>
  <w:style w:type="paragraph" w:styleId="Revision">
    <w:name w:val="Revision"/>
    <w:hidden/>
    <w:uiPriority w:val="99"/>
    <w:semiHidden/>
    <w:rsid w:val="007456AA"/>
    <w:rPr>
      <w:rFonts w:ascii="Arial" w:hAnsi="Arial" w:cs="Arial"/>
    </w:rPr>
  </w:style>
  <w:style w:type="paragraph" w:customStyle="1" w:styleId="Default">
    <w:name w:val="Default"/>
    <w:rsid w:val="00F17C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47D1-3028-448E-B076-9BF11B7F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Newell, Shelley</cp:lastModifiedBy>
  <cp:revision>4</cp:revision>
  <cp:lastPrinted>2023-06-02T21:07:00Z</cp:lastPrinted>
  <dcterms:created xsi:type="dcterms:W3CDTF">2023-05-25T20:18:00Z</dcterms:created>
  <dcterms:modified xsi:type="dcterms:W3CDTF">2023-06-02T21:07:00Z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9fd46faa05be55139244097adc18986afa36eafe2e1eceae5a30ee8c98fcc010</vt:lpwstr>
  </property>
</Properties>
</file>